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34" w:rsidRPr="007A276B" w:rsidRDefault="005F1A7A">
      <w:pPr>
        <w:rPr>
          <w:sz w:val="24"/>
          <w:szCs w:val="24"/>
        </w:rPr>
      </w:pPr>
      <w:r w:rsidRPr="007A276B">
        <w:rPr>
          <w:sz w:val="24"/>
          <w:szCs w:val="24"/>
        </w:rPr>
        <w:t>ΘΕΜΑ Γ</w:t>
      </w:r>
    </w:p>
    <w:p w:rsidR="005F1A7A" w:rsidRPr="007A276B" w:rsidRDefault="005F1A7A">
      <w:pPr>
        <w:rPr>
          <w:rFonts w:eastAsiaTheme="minorEastAsia"/>
          <w:sz w:val="24"/>
          <w:szCs w:val="24"/>
        </w:rPr>
      </w:pPr>
      <w:r w:rsidRPr="007A276B">
        <w:rPr>
          <w:sz w:val="24"/>
          <w:szCs w:val="24"/>
        </w:rPr>
        <w:t xml:space="preserve">Οι πωλήσεις, σε χιλιάδες ευρώ, που έγιναν από τους πωλητές μιας εταιρείας κατά την διάρκεια ενός έτους ομαδοποιήθηκαν σε πίνακα συχνοτήτων με κλάσεις ίσου πλάτους. Το αντίστοιχο πολύγωνο σχετικών συχνοτήτων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r>
          <w:rPr>
            <w:rFonts w:ascii="Cambria Math" w:hAnsi="Cambria Math"/>
            <w:sz w:val="24"/>
            <w:szCs w:val="24"/>
          </w:rPr>
          <m:t>%</m:t>
        </m:r>
      </m:oMath>
      <w:r w:rsidRPr="007A276B">
        <w:rPr>
          <w:rFonts w:eastAsiaTheme="minorEastAsia"/>
          <w:sz w:val="24"/>
          <w:szCs w:val="24"/>
        </w:rPr>
        <w:t xml:space="preserve"> έχει διαδοχικές κορυφές τις: </w:t>
      </w:r>
    </w:p>
    <w:p w:rsidR="00BC2180" w:rsidRPr="007A276B" w:rsidRDefault="00BC2180">
      <w:pPr>
        <w:rPr>
          <w:rFonts w:eastAsiaTheme="minorEastAsia"/>
          <w:sz w:val="24"/>
          <w:szCs w:val="24"/>
          <w:vertAlign w:val="subscript"/>
        </w:rPr>
      </w:pPr>
      <w:r w:rsidRPr="007A276B">
        <w:rPr>
          <w:rFonts w:eastAsiaTheme="minorEastAsia"/>
          <w:sz w:val="24"/>
          <w:szCs w:val="24"/>
        </w:rPr>
        <w:t xml:space="preserve">Α(8, 0)   Β(10, 10)  Γ(12,  20),  Δ(14,  </w:t>
      </w:r>
      <w:r w:rsidRPr="007A276B">
        <w:rPr>
          <w:rFonts w:eastAsiaTheme="minorEastAsia"/>
          <w:sz w:val="24"/>
          <w:szCs w:val="24"/>
          <w:lang w:val="en-US"/>
        </w:rPr>
        <w:t>y</w:t>
      </w:r>
      <w:r w:rsidRPr="007A276B">
        <w:rPr>
          <w:rFonts w:eastAsiaTheme="minorEastAsia"/>
          <w:sz w:val="24"/>
          <w:szCs w:val="24"/>
          <w:vertAlign w:val="subscript"/>
        </w:rPr>
        <w:t>Δ</w:t>
      </w:r>
      <w:r w:rsidRPr="007A276B">
        <w:rPr>
          <w:rFonts w:eastAsiaTheme="minorEastAsia"/>
          <w:sz w:val="24"/>
          <w:szCs w:val="24"/>
        </w:rPr>
        <w:t xml:space="preserve">)  Ε(16, </w:t>
      </w:r>
      <w:r w:rsidRPr="007A276B">
        <w:rPr>
          <w:rFonts w:eastAsiaTheme="minorEastAsia"/>
          <w:sz w:val="24"/>
          <w:szCs w:val="24"/>
          <w:lang w:val="en-US"/>
        </w:rPr>
        <w:t>y</w:t>
      </w:r>
      <w:r w:rsidRPr="007A276B">
        <w:rPr>
          <w:rFonts w:eastAsiaTheme="minorEastAsia"/>
          <w:sz w:val="24"/>
          <w:szCs w:val="24"/>
          <w:vertAlign w:val="subscript"/>
        </w:rPr>
        <w:t>Ε</w:t>
      </w:r>
      <w:r w:rsidRPr="007A276B">
        <w:rPr>
          <w:rFonts w:eastAsiaTheme="minorEastAsia"/>
          <w:sz w:val="24"/>
          <w:szCs w:val="24"/>
        </w:rPr>
        <w:t xml:space="preserve">),  Ζ(18, 10)  Η(20, 0) όπου </w:t>
      </w:r>
      <w:r w:rsidRPr="007A276B">
        <w:rPr>
          <w:rFonts w:eastAsiaTheme="minorEastAsia"/>
          <w:sz w:val="24"/>
          <w:szCs w:val="24"/>
          <w:lang w:val="en-US"/>
        </w:rPr>
        <w:t>y</w:t>
      </w:r>
      <w:r w:rsidRPr="007A276B">
        <w:rPr>
          <w:rFonts w:eastAsiaTheme="minorEastAsia"/>
          <w:sz w:val="24"/>
          <w:szCs w:val="24"/>
          <w:vertAlign w:val="subscript"/>
        </w:rPr>
        <w:t>Δ</w:t>
      </w:r>
      <w:r w:rsidRPr="007A276B">
        <w:rPr>
          <w:rFonts w:eastAsiaTheme="minorEastAsia"/>
          <w:sz w:val="24"/>
          <w:szCs w:val="24"/>
        </w:rPr>
        <w:t xml:space="preserve">, </w:t>
      </w:r>
      <w:r w:rsidRPr="007A276B">
        <w:rPr>
          <w:rFonts w:eastAsiaTheme="minorEastAsia"/>
          <w:sz w:val="24"/>
          <w:szCs w:val="24"/>
          <w:lang w:val="en-US"/>
        </w:rPr>
        <w:t>y</w:t>
      </w:r>
      <w:r w:rsidRPr="007A276B">
        <w:rPr>
          <w:rFonts w:eastAsiaTheme="minorEastAsia"/>
          <w:sz w:val="24"/>
          <w:szCs w:val="24"/>
          <w:vertAlign w:val="subscript"/>
        </w:rPr>
        <w:t>Ε</w:t>
      </w:r>
      <w:r w:rsidRPr="007A276B">
        <w:rPr>
          <w:rFonts w:eastAsiaTheme="minorEastAsia"/>
          <w:sz w:val="24"/>
          <w:szCs w:val="24"/>
        </w:rPr>
        <w:t xml:space="preserve"> οι τεταγμένες των κορυφών Δ και Ε του πολυγώνου ΑΒΓΔΕΖΗ.</w:t>
      </w:r>
      <w:r w:rsidRPr="007A276B">
        <w:rPr>
          <w:rFonts w:eastAsiaTheme="minorEastAsia"/>
          <w:sz w:val="24"/>
          <w:szCs w:val="24"/>
          <w:vertAlign w:val="subscript"/>
        </w:rPr>
        <w:t xml:space="preserve"> </w:t>
      </w:r>
    </w:p>
    <w:p w:rsidR="00BC2180" w:rsidRPr="007A276B" w:rsidRDefault="00BC2180" w:rsidP="00BE373D">
      <w:pPr>
        <w:ind w:left="284" w:hanging="284"/>
        <w:rPr>
          <w:rFonts w:eastAsiaTheme="minorEastAsia"/>
          <w:b/>
          <w:sz w:val="24"/>
          <w:szCs w:val="24"/>
        </w:rPr>
      </w:pPr>
      <w:r w:rsidRPr="007A276B">
        <w:rPr>
          <w:rFonts w:eastAsiaTheme="minorEastAsia"/>
          <w:sz w:val="24"/>
          <w:szCs w:val="24"/>
        </w:rPr>
        <w:t xml:space="preserve">Γ1.Να υπολογισθούν οι τεταγμένες </w:t>
      </w:r>
      <w:r w:rsidRPr="007A276B">
        <w:rPr>
          <w:rFonts w:eastAsiaTheme="minorEastAsia"/>
          <w:sz w:val="24"/>
          <w:szCs w:val="24"/>
          <w:lang w:val="en-US"/>
        </w:rPr>
        <w:t>y</w:t>
      </w:r>
      <w:r w:rsidRPr="007A276B">
        <w:rPr>
          <w:rFonts w:eastAsiaTheme="minorEastAsia"/>
          <w:sz w:val="24"/>
          <w:szCs w:val="24"/>
          <w:vertAlign w:val="subscript"/>
        </w:rPr>
        <w:t xml:space="preserve">Δ  </w:t>
      </w:r>
      <w:r w:rsidRPr="007A276B">
        <w:rPr>
          <w:rFonts w:eastAsiaTheme="minorEastAsia"/>
          <w:sz w:val="24"/>
          <w:szCs w:val="24"/>
        </w:rPr>
        <w:t xml:space="preserve">και  </w:t>
      </w:r>
      <w:r w:rsidRPr="007A276B">
        <w:rPr>
          <w:rFonts w:eastAsiaTheme="minorEastAsia"/>
          <w:sz w:val="24"/>
          <w:szCs w:val="24"/>
          <w:lang w:val="en-US"/>
        </w:rPr>
        <w:t>y</w:t>
      </w:r>
      <w:r w:rsidRPr="007A276B">
        <w:rPr>
          <w:rFonts w:eastAsiaTheme="minorEastAsia"/>
          <w:sz w:val="24"/>
          <w:szCs w:val="24"/>
          <w:vertAlign w:val="subscript"/>
        </w:rPr>
        <w:t>Ε</w:t>
      </w:r>
      <w:r w:rsidRPr="007A276B">
        <w:rPr>
          <w:rFonts w:eastAsiaTheme="minorEastAsia"/>
          <w:sz w:val="24"/>
          <w:szCs w:val="24"/>
        </w:rPr>
        <w:t xml:space="preserve"> των κορυφών Δ και Ε, αν επιπλέον γνωρίζουμε ότι η μέση τιμή των πωλήσεων στη διάρκεια του έτους είναι 14200 ευρώ και το ευθύγραμμο τμήμα ΔΕ είναι παράλληλο προς τον οριζόντιο άξονα.</w:t>
      </w:r>
      <w:r w:rsidR="00470136" w:rsidRPr="007A276B">
        <w:rPr>
          <w:rFonts w:eastAsiaTheme="minorEastAsia"/>
          <w:sz w:val="24"/>
          <w:szCs w:val="24"/>
        </w:rPr>
        <w:t xml:space="preserve">   </w:t>
      </w:r>
      <w:r w:rsidR="00470136" w:rsidRPr="007A276B">
        <w:rPr>
          <w:rFonts w:eastAsiaTheme="minorEastAsia"/>
          <w:b/>
          <w:sz w:val="24"/>
          <w:szCs w:val="24"/>
        </w:rPr>
        <w:t>Μονάδες 7</w:t>
      </w:r>
    </w:p>
    <w:p w:rsidR="00470136" w:rsidRPr="007A276B" w:rsidRDefault="00470136" w:rsidP="00BE373D">
      <w:pPr>
        <w:ind w:left="284" w:hanging="284"/>
        <w:rPr>
          <w:rFonts w:eastAsiaTheme="minorEastAsia"/>
          <w:sz w:val="24"/>
          <w:szCs w:val="24"/>
        </w:rPr>
      </w:pPr>
      <w:r w:rsidRPr="007A276B">
        <w:rPr>
          <w:rFonts w:eastAsiaTheme="minorEastAsia"/>
          <w:sz w:val="24"/>
          <w:szCs w:val="24"/>
        </w:rPr>
        <w:t xml:space="preserve">Γ2. Να σχεδιαστεί το πολύγωνο των σχετικών συχνοτήτων </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f</m:t>
            </m:r>
          </m:e>
          <m:sub>
            <m:r>
              <m:rPr>
                <m:sty m:val="p"/>
              </m:rPr>
              <w:rPr>
                <w:rFonts w:ascii="Cambria Math" w:eastAsiaTheme="minorEastAsia" w:hAnsi="Cambria Math"/>
                <w:sz w:val="24"/>
                <w:szCs w:val="24"/>
              </w:rPr>
              <m:t>i</m:t>
            </m:r>
          </m:sub>
        </m:sSub>
        <m:r>
          <m:rPr>
            <m:sty m:val="p"/>
          </m:rPr>
          <w:rPr>
            <w:rFonts w:ascii="Cambria Math" w:eastAsiaTheme="minorEastAsia" w:hAnsi="Cambria Math"/>
            <w:sz w:val="24"/>
            <w:szCs w:val="24"/>
          </w:rPr>
          <m:t>%</m:t>
        </m:r>
      </m:oMath>
      <w:r w:rsidRPr="007A276B">
        <w:rPr>
          <w:rFonts w:eastAsiaTheme="minorEastAsia"/>
          <w:sz w:val="24"/>
          <w:szCs w:val="24"/>
        </w:rPr>
        <w:t xml:space="preserve">. </w:t>
      </w:r>
      <w:r w:rsidRPr="007A276B">
        <w:rPr>
          <w:rFonts w:eastAsiaTheme="minorEastAsia"/>
          <w:sz w:val="24"/>
          <w:szCs w:val="24"/>
        </w:rPr>
        <w:tab/>
      </w:r>
      <w:r w:rsidRPr="007A276B">
        <w:rPr>
          <w:rFonts w:eastAsiaTheme="minorEastAsia"/>
          <w:b/>
          <w:sz w:val="24"/>
          <w:szCs w:val="24"/>
        </w:rPr>
        <w:t>Μονάδες 3</w:t>
      </w:r>
    </w:p>
    <w:p w:rsidR="00470136" w:rsidRPr="007A276B" w:rsidRDefault="00470136" w:rsidP="00BE373D">
      <w:pPr>
        <w:ind w:left="284" w:hanging="284"/>
        <w:rPr>
          <w:rFonts w:eastAsiaTheme="minorEastAsia"/>
          <w:sz w:val="24"/>
          <w:szCs w:val="24"/>
        </w:rPr>
      </w:pPr>
      <w:r w:rsidRPr="007A276B">
        <w:rPr>
          <w:rFonts w:eastAsiaTheme="minorEastAsia"/>
          <w:sz w:val="24"/>
          <w:szCs w:val="24"/>
        </w:rPr>
        <w:t xml:space="preserve">Γ3. Να κατασκευαστεί ο πίνακας των σχετικών συχνοτήτων </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f</m:t>
            </m:r>
          </m:e>
          <m:sub>
            <m:r>
              <m:rPr>
                <m:sty m:val="p"/>
              </m:rPr>
              <w:rPr>
                <w:rFonts w:ascii="Cambria Math" w:eastAsiaTheme="minorEastAsia" w:hAnsi="Cambria Math"/>
                <w:sz w:val="24"/>
                <w:szCs w:val="24"/>
              </w:rPr>
              <m:t>i</m:t>
            </m:r>
          </m:sub>
        </m:sSub>
        <m:r>
          <m:rPr>
            <m:sty m:val="p"/>
          </m:rPr>
          <w:rPr>
            <w:rFonts w:ascii="Cambria Math" w:eastAsiaTheme="minorEastAsia" w:hAnsi="Cambria Math"/>
            <w:sz w:val="24"/>
            <w:szCs w:val="24"/>
          </w:rPr>
          <m:t>%</m:t>
        </m:r>
      </m:oMath>
      <w:r w:rsidRPr="007A276B">
        <w:rPr>
          <w:rFonts w:eastAsiaTheme="minorEastAsia"/>
          <w:sz w:val="24"/>
          <w:szCs w:val="24"/>
        </w:rPr>
        <w:t xml:space="preserve"> της κατανομής των πωλήσεων που έγιναν από τους πωλητές της εταιρείας κατά την διάρκεια του έτους. </w:t>
      </w:r>
      <w:r w:rsidRPr="007A276B">
        <w:rPr>
          <w:rFonts w:eastAsiaTheme="minorEastAsia"/>
          <w:b/>
          <w:sz w:val="24"/>
          <w:szCs w:val="24"/>
        </w:rPr>
        <w:t>Μονάδες 7</w:t>
      </w:r>
    </w:p>
    <w:p w:rsidR="00470136" w:rsidRPr="007A276B" w:rsidRDefault="00470136" w:rsidP="00BE373D">
      <w:pPr>
        <w:ind w:left="284" w:hanging="284"/>
        <w:rPr>
          <w:rFonts w:eastAsiaTheme="minorEastAsia"/>
          <w:sz w:val="24"/>
          <w:szCs w:val="24"/>
        </w:rPr>
      </w:pPr>
      <w:r w:rsidRPr="007A276B">
        <w:rPr>
          <w:rFonts w:eastAsiaTheme="minorEastAsia"/>
          <w:sz w:val="24"/>
          <w:szCs w:val="24"/>
        </w:rPr>
        <w:t xml:space="preserve">Γ4. Η διεύθυνση της εταιρείας αποφάσισε την χορήγηση ενός επιπλέον εφάπαξ ποσού σε όσους πωλητές έχουν κάνει ετήσιες πωλήσεις τουλάχιστον 15000 ευρώ. Να υπολογιστεί το ποσοστό των πωλητών που θα λάβουν αυτό το ποσό. </w:t>
      </w:r>
      <w:r w:rsidRPr="007A276B">
        <w:rPr>
          <w:rFonts w:eastAsiaTheme="minorEastAsia"/>
          <w:b/>
          <w:sz w:val="24"/>
          <w:szCs w:val="24"/>
        </w:rPr>
        <w:t>Μονάδες 4</w:t>
      </w:r>
      <w:r w:rsidRPr="007A276B">
        <w:rPr>
          <w:rFonts w:eastAsiaTheme="minorEastAsia"/>
          <w:sz w:val="24"/>
          <w:szCs w:val="24"/>
        </w:rPr>
        <w:t xml:space="preserve"> </w:t>
      </w:r>
    </w:p>
    <w:p w:rsidR="00470136" w:rsidRPr="007A276B" w:rsidRDefault="00470136" w:rsidP="00BE373D">
      <w:pPr>
        <w:ind w:left="284" w:hanging="284"/>
        <w:rPr>
          <w:rFonts w:eastAsiaTheme="minorEastAsia"/>
          <w:sz w:val="24"/>
          <w:szCs w:val="24"/>
        </w:rPr>
      </w:pPr>
      <w:r w:rsidRPr="007A276B">
        <w:rPr>
          <w:rFonts w:eastAsiaTheme="minorEastAsia"/>
          <w:sz w:val="24"/>
          <w:szCs w:val="24"/>
        </w:rPr>
        <w:t xml:space="preserve">Γ5. Το εμβαδόν του χωρίου που ορίζεται από το πολύγωνο συχνοτήτων </w:t>
      </w:r>
      <w:r w:rsidR="00866513">
        <w:rPr>
          <w:rFonts w:eastAsiaTheme="minorEastAsia"/>
          <w:sz w:val="24"/>
          <w:szCs w:val="24"/>
        </w:rPr>
        <w:t xml:space="preserve">της </w:t>
      </w:r>
      <w:r w:rsidRPr="007A276B">
        <w:rPr>
          <w:rFonts w:eastAsiaTheme="minorEastAsia"/>
          <w:sz w:val="24"/>
          <w:szCs w:val="24"/>
        </w:rPr>
        <w:t>κατανομής των πωλήσεων οι οποίες έγιναν από τους πωλητές τη</w:t>
      </w:r>
      <w:r w:rsidR="007A276B">
        <w:rPr>
          <w:rFonts w:eastAsiaTheme="minorEastAsia"/>
          <w:sz w:val="24"/>
          <w:szCs w:val="24"/>
        </w:rPr>
        <w:t>ς</w:t>
      </w:r>
      <w:r w:rsidRPr="007A276B">
        <w:rPr>
          <w:rFonts w:eastAsiaTheme="minorEastAsia"/>
          <w:sz w:val="24"/>
          <w:szCs w:val="24"/>
        </w:rPr>
        <w:t xml:space="preserve"> εταιρείας κατά την διάρκεια ενός έτους και του οριζόντιου άξονα είναι 80. Να βρείτε τον αριθμό των πωλητών του ερωτήματος Γ4. </w:t>
      </w:r>
      <w:r w:rsidRPr="007A276B">
        <w:rPr>
          <w:rFonts w:eastAsiaTheme="minorEastAsia"/>
          <w:b/>
          <w:sz w:val="24"/>
          <w:szCs w:val="24"/>
        </w:rPr>
        <w:t xml:space="preserve">Μονάδες </w:t>
      </w:r>
      <w:r w:rsidR="00BE373D" w:rsidRPr="007A276B">
        <w:rPr>
          <w:rFonts w:eastAsiaTheme="minorEastAsia"/>
          <w:b/>
          <w:sz w:val="24"/>
          <w:szCs w:val="24"/>
        </w:rPr>
        <w:t xml:space="preserve"> 4</w:t>
      </w:r>
    </w:p>
    <w:p w:rsidR="00BE373D" w:rsidRPr="007A276B" w:rsidRDefault="00BE373D" w:rsidP="00BE373D">
      <w:pPr>
        <w:ind w:left="284" w:hanging="284"/>
        <w:rPr>
          <w:rFonts w:eastAsiaTheme="minorEastAsia"/>
          <w:sz w:val="24"/>
          <w:szCs w:val="24"/>
        </w:rPr>
      </w:pPr>
    </w:p>
    <w:p w:rsidR="00BE373D" w:rsidRDefault="00BE373D" w:rsidP="00BE373D">
      <w:pPr>
        <w:ind w:left="284" w:hanging="284"/>
        <w:rPr>
          <w:rFonts w:eastAsiaTheme="minorEastAsia"/>
          <w:sz w:val="24"/>
          <w:szCs w:val="24"/>
        </w:rPr>
      </w:pPr>
      <w:r w:rsidRPr="007A276B">
        <w:rPr>
          <w:rFonts w:eastAsiaTheme="minorEastAsia"/>
          <w:sz w:val="24"/>
          <w:szCs w:val="24"/>
        </w:rPr>
        <w:t>Απαντήσεις</w:t>
      </w:r>
    </w:p>
    <w:p w:rsidR="007A276B" w:rsidRDefault="00370429" w:rsidP="00BE373D">
      <w:pPr>
        <w:ind w:left="284" w:hanging="284"/>
        <w:rPr>
          <w:rFonts w:eastAsiaTheme="minorEastAsia"/>
          <w:noProof/>
          <w:sz w:val="24"/>
          <w:szCs w:val="24"/>
          <w:lang w:eastAsia="el-GR"/>
        </w:rPr>
      </w:pPr>
      <w:r>
        <w:rPr>
          <w:rFonts w:eastAsiaTheme="minorEastAsia"/>
          <w:noProof/>
          <w:sz w:val="24"/>
          <w:szCs w:val="24"/>
          <w:lang w:eastAsia="el-GR"/>
        </w:rPr>
        <w:t xml:space="preserve">Γ1. Είναι γνωστό ότι το άθροισμα των </w:t>
      </w:r>
      <m:oMath>
        <m:sSub>
          <m:sSubPr>
            <m:ctrlPr>
              <w:rPr>
                <w:rFonts w:ascii="Cambria Math" w:eastAsiaTheme="minorEastAsia" w:hAnsi="Cambria Math"/>
                <w:noProof/>
                <w:sz w:val="24"/>
                <w:szCs w:val="24"/>
                <w:lang w:eastAsia="el-GR"/>
              </w:rPr>
            </m:ctrlPr>
          </m:sSubPr>
          <m:e>
            <m:r>
              <m:rPr>
                <m:sty m:val="p"/>
              </m:rPr>
              <w:rPr>
                <w:rFonts w:ascii="Cambria Math" w:eastAsiaTheme="minorEastAsia" w:hAnsi="Cambria Math"/>
                <w:noProof/>
                <w:sz w:val="24"/>
                <w:szCs w:val="24"/>
                <w:lang w:eastAsia="el-GR"/>
              </w:rPr>
              <m:t>f</m:t>
            </m:r>
          </m:e>
          <m:sub>
            <m:r>
              <m:rPr>
                <m:sty m:val="p"/>
              </m:rPr>
              <w:rPr>
                <w:rFonts w:ascii="Cambria Math" w:eastAsiaTheme="minorEastAsia" w:hAnsi="Cambria Math"/>
                <w:noProof/>
                <w:sz w:val="24"/>
                <w:szCs w:val="24"/>
                <w:lang w:eastAsia="el-GR"/>
              </w:rPr>
              <m:t>i</m:t>
            </m:r>
          </m:sub>
        </m:sSub>
        <m:r>
          <m:rPr>
            <m:sty m:val="p"/>
          </m:rPr>
          <w:rPr>
            <w:rFonts w:ascii="Cambria Math" w:eastAsiaTheme="minorEastAsia" w:hAnsi="Cambria Math"/>
            <w:noProof/>
            <w:sz w:val="24"/>
            <w:szCs w:val="24"/>
            <w:lang w:eastAsia="el-GR"/>
          </w:rPr>
          <m:t>%</m:t>
        </m:r>
      </m:oMath>
      <w:r>
        <w:rPr>
          <w:rFonts w:eastAsiaTheme="minorEastAsia"/>
          <w:noProof/>
          <w:sz w:val="24"/>
          <w:szCs w:val="24"/>
          <w:lang w:eastAsia="el-GR"/>
        </w:rPr>
        <w:t xml:space="preserve"> είναι 100. Επειδή το ευθύγραμμο τμήμα ΔΕ είναι παράλληλο με τον οριζόντιο άξονα έχουμε ότι </w:t>
      </w:r>
      <w:r w:rsidRPr="00370429">
        <w:rPr>
          <w:rFonts w:eastAsiaTheme="minorEastAsia"/>
          <w:noProof/>
          <w:sz w:val="24"/>
          <w:szCs w:val="24"/>
          <w:lang w:val="en-US" w:eastAsia="el-GR"/>
        </w:rPr>
        <w:t>y</w:t>
      </w:r>
      <w:r w:rsidRPr="00370429">
        <w:rPr>
          <w:rFonts w:eastAsiaTheme="minorEastAsia"/>
          <w:noProof/>
          <w:sz w:val="24"/>
          <w:szCs w:val="24"/>
          <w:vertAlign w:val="subscript"/>
          <w:lang w:eastAsia="el-GR"/>
        </w:rPr>
        <w:t>Δ</w:t>
      </w:r>
      <w:r>
        <w:rPr>
          <w:rFonts w:eastAsiaTheme="minorEastAsia"/>
          <w:noProof/>
          <w:sz w:val="24"/>
          <w:szCs w:val="24"/>
          <w:lang w:eastAsia="el-GR"/>
        </w:rPr>
        <w:t>=</w:t>
      </w:r>
      <w:r w:rsidRPr="00370429">
        <w:rPr>
          <w:rFonts w:eastAsiaTheme="minorEastAsia"/>
          <w:noProof/>
          <w:sz w:val="24"/>
          <w:szCs w:val="24"/>
          <w:lang w:val="en-US" w:eastAsia="el-GR"/>
        </w:rPr>
        <w:t>y</w:t>
      </w:r>
      <w:r w:rsidRPr="00370429">
        <w:rPr>
          <w:rFonts w:eastAsiaTheme="minorEastAsia"/>
          <w:noProof/>
          <w:sz w:val="24"/>
          <w:szCs w:val="24"/>
          <w:vertAlign w:val="subscript"/>
          <w:lang w:eastAsia="el-GR"/>
        </w:rPr>
        <w:t>Ε</w:t>
      </w:r>
      <w:r w:rsidR="00D176E3">
        <w:rPr>
          <w:rFonts w:eastAsiaTheme="minorEastAsia"/>
          <w:noProof/>
          <w:sz w:val="24"/>
          <w:szCs w:val="24"/>
          <w:lang w:eastAsia="el-GR"/>
        </w:rPr>
        <w:t>=α</w:t>
      </w:r>
      <w:r>
        <w:rPr>
          <w:rFonts w:eastAsiaTheme="minorEastAsia"/>
          <w:noProof/>
          <w:sz w:val="24"/>
          <w:szCs w:val="24"/>
          <w:lang w:eastAsia="el-GR"/>
        </w:rPr>
        <w:t xml:space="preserve"> Άρα </w:t>
      </w:r>
      <w:r w:rsidR="00D176E3">
        <w:rPr>
          <w:rFonts w:eastAsiaTheme="minorEastAsia"/>
          <w:noProof/>
          <w:sz w:val="24"/>
          <w:szCs w:val="24"/>
          <w:lang w:eastAsia="el-GR"/>
        </w:rPr>
        <w:t>10+20+α+α+10=100 και συνεπώς 2α=60 άρα α=30</w:t>
      </w:r>
      <w:r w:rsidR="0005443F">
        <w:rPr>
          <w:rFonts w:eastAsiaTheme="minorEastAsia"/>
          <w:noProof/>
          <w:sz w:val="24"/>
          <w:szCs w:val="24"/>
          <w:lang w:eastAsia="el-GR"/>
        </w:rPr>
        <w:t xml:space="preserve">. Τελικά </w:t>
      </w:r>
      <w:r w:rsidR="0005443F" w:rsidRPr="0005443F">
        <w:rPr>
          <w:rFonts w:eastAsiaTheme="minorEastAsia"/>
          <w:noProof/>
          <w:sz w:val="24"/>
          <w:szCs w:val="24"/>
          <w:lang w:val="en-US" w:eastAsia="el-GR"/>
        </w:rPr>
        <w:t>y</w:t>
      </w:r>
      <w:r w:rsidR="0005443F" w:rsidRPr="0005443F">
        <w:rPr>
          <w:rFonts w:eastAsiaTheme="minorEastAsia"/>
          <w:noProof/>
          <w:sz w:val="24"/>
          <w:szCs w:val="24"/>
          <w:vertAlign w:val="subscript"/>
          <w:lang w:eastAsia="el-GR"/>
        </w:rPr>
        <w:t>Δ</w:t>
      </w:r>
      <w:r w:rsidR="0005443F" w:rsidRPr="0005443F">
        <w:rPr>
          <w:rFonts w:eastAsiaTheme="minorEastAsia"/>
          <w:noProof/>
          <w:sz w:val="24"/>
          <w:szCs w:val="24"/>
          <w:lang w:eastAsia="el-GR"/>
        </w:rPr>
        <w:t>=</w:t>
      </w:r>
      <w:r w:rsidR="0005443F" w:rsidRPr="0005443F">
        <w:rPr>
          <w:rFonts w:eastAsiaTheme="minorEastAsia"/>
          <w:noProof/>
          <w:sz w:val="24"/>
          <w:szCs w:val="24"/>
          <w:lang w:val="en-US" w:eastAsia="el-GR"/>
        </w:rPr>
        <w:t>y</w:t>
      </w:r>
      <w:r w:rsidR="0005443F" w:rsidRPr="0005443F">
        <w:rPr>
          <w:rFonts w:eastAsiaTheme="minorEastAsia"/>
          <w:noProof/>
          <w:sz w:val="24"/>
          <w:szCs w:val="24"/>
          <w:vertAlign w:val="subscript"/>
          <w:lang w:eastAsia="el-GR"/>
        </w:rPr>
        <w:t>Ε</w:t>
      </w:r>
      <w:r w:rsidR="0005443F">
        <w:rPr>
          <w:rFonts w:eastAsiaTheme="minorEastAsia"/>
          <w:noProof/>
          <w:sz w:val="24"/>
          <w:szCs w:val="24"/>
          <w:lang w:eastAsia="el-GR"/>
        </w:rPr>
        <w:t>=30.</w:t>
      </w:r>
    </w:p>
    <w:p w:rsidR="0005443F" w:rsidRDefault="0005443F" w:rsidP="00BE373D">
      <w:pPr>
        <w:ind w:left="284" w:hanging="284"/>
        <w:rPr>
          <w:rFonts w:eastAsiaTheme="minorEastAsia"/>
          <w:noProof/>
          <w:sz w:val="24"/>
          <w:szCs w:val="24"/>
          <w:lang w:eastAsia="el-GR"/>
        </w:rPr>
      </w:pPr>
      <w:r>
        <w:rPr>
          <w:rFonts w:eastAsiaTheme="minorEastAsia"/>
          <w:noProof/>
          <w:sz w:val="24"/>
          <w:szCs w:val="24"/>
          <w:lang w:eastAsia="el-GR"/>
        </w:rPr>
        <w:lastRenderedPageBreak/>
        <w:t xml:space="preserve">Γ2. </w:t>
      </w:r>
      <w:r w:rsidR="00C94B2E">
        <w:rPr>
          <w:rFonts w:eastAsiaTheme="minorEastAsia"/>
          <w:noProof/>
          <w:sz w:val="24"/>
          <w:szCs w:val="24"/>
          <w:lang w:eastAsia="el-GR"/>
        </w:rPr>
        <w:drawing>
          <wp:inline distT="0" distB="0" distL="0" distR="0">
            <wp:extent cx="4057650" cy="15906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7650" cy="1590675"/>
                    </a:xfrm>
                    <a:prstGeom prst="rect">
                      <a:avLst/>
                    </a:prstGeom>
                    <a:noFill/>
                    <a:ln>
                      <a:noFill/>
                    </a:ln>
                  </pic:spPr>
                </pic:pic>
              </a:graphicData>
            </a:graphic>
          </wp:inline>
        </w:drawing>
      </w:r>
    </w:p>
    <w:p w:rsidR="00CA54D6" w:rsidRDefault="00CA54D6" w:rsidP="00BE373D">
      <w:pPr>
        <w:ind w:left="284" w:hanging="284"/>
        <w:rPr>
          <w:rFonts w:eastAsiaTheme="minorEastAsia"/>
          <w:noProof/>
          <w:sz w:val="24"/>
          <w:szCs w:val="24"/>
          <w:lang w:eastAsia="el-GR"/>
        </w:rPr>
      </w:pPr>
      <w:r>
        <w:rPr>
          <w:rFonts w:eastAsiaTheme="minorEastAsia"/>
          <w:noProof/>
          <w:sz w:val="24"/>
          <w:szCs w:val="24"/>
          <w:lang w:eastAsia="el-GR"/>
        </w:rPr>
        <w:t>Γ3. Επειδή οι κλάσεις είναι ισοπλατείς και το κέντρο της πρώτης κλάσεις είναι 10 ενώ της δεύτερης είναι 12 έχουμε ότι το πλάτος των κλάσεων είναι 2. Άρα προκύπτει ο παρακάτω πίνακας.</w:t>
      </w:r>
    </w:p>
    <w:tbl>
      <w:tblPr>
        <w:tblStyle w:val="a7"/>
        <w:tblW w:w="0" w:type="auto"/>
        <w:tblInd w:w="284" w:type="dxa"/>
        <w:tblLayout w:type="fixed"/>
        <w:tblLook w:val="04A0" w:firstRow="1" w:lastRow="0" w:firstColumn="1" w:lastColumn="0" w:noHBand="0" w:noVBand="1"/>
      </w:tblPr>
      <w:tblGrid>
        <w:gridCol w:w="1809"/>
        <w:gridCol w:w="1559"/>
        <w:gridCol w:w="1843"/>
      </w:tblGrid>
      <w:tr w:rsidR="00CA54D6" w:rsidTr="00CA54D6">
        <w:tc>
          <w:tcPr>
            <w:tcW w:w="1809" w:type="dxa"/>
          </w:tcPr>
          <w:p w:rsidR="00CA54D6" w:rsidRPr="00CA54D6" w:rsidRDefault="00CA54D6" w:rsidP="00CA54D6">
            <w:pPr>
              <w:jc w:val="center"/>
              <w:rPr>
                <w:rFonts w:eastAsiaTheme="minorEastAsia"/>
                <w:b/>
                <w:noProof/>
                <w:sz w:val="24"/>
                <w:szCs w:val="24"/>
                <w:lang w:eastAsia="el-GR"/>
              </w:rPr>
            </w:pPr>
            <w:r w:rsidRPr="00CA54D6">
              <w:rPr>
                <w:rFonts w:eastAsiaTheme="minorEastAsia"/>
                <w:b/>
                <w:noProof/>
                <w:sz w:val="24"/>
                <w:szCs w:val="24"/>
                <w:lang w:eastAsia="el-GR"/>
              </w:rPr>
              <w:t>[   -    )</w:t>
            </w:r>
          </w:p>
        </w:tc>
        <w:tc>
          <w:tcPr>
            <w:tcW w:w="1559" w:type="dxa"/>
          </w:tcPr>
          <w:p w:rsidR="00CA54D6" w:rsidRPr="00CA54D6" w:rsidRDefault="00CA54D6" w:rsidP="00CA54D6">
            <w:pPr>
              <w:jc w:val="center"/>
              <w:rPr>
                <w:rFonts w:eastAsiaTheme="minorEastAsia"/>
                <w:b/>
                <w:noProof/>
                <w:sz w:val="24"/>
                <w:szCs w:val="24"/>
                <w:lang w:val="en-US" w:eastAsia="el-GR"/>
              </w:rPr>
            </w:pPr>
            <w:r w:rsidRPr="00CA54D6">
              <w:rPr>
                <w:rFonts w:eastAsiaTheme="minorEastAsia"/>
                <w:b/>
                <w:noProof/>
                <w:sz w:val="24"/>
                <w:szCs w:val="24"/>
                <w:lang w:val="en-US" w:eastAsia="el-GR"/>
              </w:rPr>
              <w:t>x</w:t>
            </w:r>
            <w:r w:rsidRPr="00CA54D6">
              <w:rPr>
                <w:rFonts w:eastAsiaTheme="minorEastAsia"/>
                <w:b/>
                <w:noProof/>
                <w:sz w:val="24"/>
                <w:szCs w:val="24"/>
                <w:vertAlign w:val="subscript"/>
                <w:lang w:val="en-US" w:eastAsia="el-GR"/>
              </w:rPr>
              <w:t>i</w:t>
            </w:r>
          </w:p>
        </w:tc>
        <w:tc>
          <w:tcPr>
            <w:tcW w:w="1843" w:type="dxa"/>
          </w:tcPr>
          <w:p w:rsidR="00CA54D6" w:rsidRPr="00CA54D6" w:rsidRDefault="00CA54D6" w:rsidP="00CA54D6">
            <w:pPr>
              <w:jc w:val="center"/>
              <w:rPr>
                <w:rFonts w:eastAsiaTheme="minorEastAsia"/>
                <w:b/>
                <w:noProof/>
                <w:sz w:val="24"/>
                <w:szCs w:val="24"/>
                <w:lang w:val="en-US" w:eastAsia="el-GR"/>
              </w:rPr>
            </w:pPr>
            <w:r w:rsidRPr="00CA54D6">
              <w:rPr>
                <w:rFonts w:eastAsiaTheme="minorEastAsia"/>
                <w:b/>
                <w:noProof/>
                <w:sz w:val="24"/>
                <w:szCs w:val="24"/>
                <w:lang w:val="en-US" w:eastAsia="el-GR"/>
              </w:rPr>
              <w:t>v</w:t>
            </w:r>
            <w:r w:rsidRPr="00CA54D6">
              <w:rPr>
                <w:rFonts w:eastAsiaTheme="minorEastAsia"/>
                <w:b/>
                <w:noProof/>
                <w:sz w:val="24"/>
                <w:szCs w:val="24"/>
                <w:vertAlign w:val="subscript"/>
                <w:lang w:val="en-US" w:eastAsia="el-GR"/>
              </w:rPr>
              <w:t>i</w:t>
            </w:r>
          </w:p>
        </w:tc>
      </w:tr>
      <w:tr w:rsidR="00CA54D6" w:rsidTr="00CA54D6">
        <w:tc>
          <w:tcPr>
            <w:tcW w:w="1809" w:type="dxa"/>
          </w:tcPr>
          <w:p w:rsidR="00CA54D6" w:rsidRDefault="00CA54D6" w:rsidP="00CA54D6">
            <w:pPr>
              <w:jc w:val="center"/>
            </w:pPr>
            <w:r w:rsidRPr="003A219B">
              <w:rPr>
                <w:rFonts w:eastAsiaTheme="minorEastAsia"/>
                <w:noProof/>
                <w:sz w:val="24"/>
                <w:szCs w:val="24"/>
                <w:lang w:eastAsia="el-GR"/>
              </w:rPr>
              <w:t xml:space="preserve">[ </w:t>
            </w:r>
            <w:r>
              <w:rPr>
                <w:rFonts w:eastAsiaTheme="minorEastAsia"/>
                <w:noProof/>
                <w:sz w:val="24"/>
                <w:szCs w:val="24"/>
                <w:lang w:val="en-US" w:eastAsia="el-GR"/>
              </w:rPr>
              <w:t>9</w:t>
            </w:r>
            <w:r w:rsidRPr="003A219B">
              <w:rPr>
                <w:rFonts w:eastAsiaTheme="minorEastAsia"/>
                <w:noProof/>
                <w:sz w:val="24"/>
                <w:szCs w:val="24"/>
                <w:lang w:eastAsia="el-GR"/>
              </w:rPr>
              <w:t xml:space="preserve">  - </w:t>
            </w:r>
            <w:r>
              <w:rPr>
                <w:rFonts w:eastAsiaTheme="minorEastAsia"/>
                <w:noProof/>
                <w:sz w:val="24"/>
                <w:szCs w:val="24"/>
                <w:lang w:val="en-US" w:eastAsia="el-GR"/>
              </w:rPr>
              <w:t>11</w:t>
            </w:r>
            <w:r w:rsidRPr="003A219B">
              <w:rPr>
                <w:rFonts w:eastAsiaTheme="minorEastAsia"/>
                <w:noProof/>
                <w:sz w:val="24"/>
                <w:szCs w:val="24"/>
                <w:lang w:eastAsia="el-GR"/>
              </w:rPr>
              <w:t xml:space="preserve">   )</w:t>
            </w:r>
          </w:p>
        </w:tc>
        <w:tc>
          <w:tcPr>
            <w:tcW w:w="1559" w:type="dxa"/>
          </w:tcPr>
          <w:p w:rsidR="00CA54D6" w:rsidRDefault="00CA54D6" w:rsidP="00CA54D6">
            <w:pPr>
              <w:jc w:val="center"/>
              <w:rPr>
                <w:rFonts w:eastAsiaTheme="minorEastAsia"/>
                <w:noProof/>
                <w:sz w:val="24"/>
                <w:szCs w:val="24"/>
                <w:lang w:eastAsia="el-GR"/>
              </w:rPr>
            </w:pPr>
            <w:r>
              <w:rPr>
                <w:rFonts w:eastAsiaTheme="minorEastAsia"/>
                <w:noProof/>
                <w:sz w:val="24"/>
                <w:szCs w:val="24"/>
                <w:lang w:eastAsia="el-GR"/>
              </w:rPr>
              <w:t>10</w:t>
            </w:r>
          </w:p>
        </w:tc>
        <w:tc>
          <w:tcPr>
            <w:tcW w:w="1843" w:type="dxa"/>
          </w:tcPr>
          <w:p w:rsidR="00CA54D6" w:rsidRDefault="00CA54D6" w:rsidP="00CA54D6">
            <w:pPr>
              <w:jc w:val="center"/>
              <w:rPr>
                <w:rFonts w:eastAsiaTheme="minorEastAsia"/>
                <w:noProof/>
                <w:sz w:val="24"/>
                <w:szCs w:val="24"/>
                <w:lang w:eastAsia="el-GR"/>
              </w:rPr>
            </w:pPr>
            <w:r>
              <w:rPr>
                <w:rFonts w:eastAsiaTheme="minorEastAsia"/>
                <w:noProof/>
                <w:sz w:val="24"/>
                <w:szCs w:val="24"/>
                <w:lang w:eastAsia="el-GR"/>
              </w:rPr>
              <w:t>10</w:t>
            </w:r>
          </w:p>
        </w:tc>
      </w:tr>
      <w:tr w:rsidR="00CA54D6" w:rsidTr="00CA54D6">
        <w:tc>
          <w:tcPr>
            <w:tcW w:w="1809" w:type="dxa"/>
          </w:tcPr>
          <w:p w:rsidR="00CA54D6" w:rsidRDefault="00CA54D6" w:rsidP="00CA54D6">
            <w:pPr>
              <w:jc w:val="center"/>
            </w:pPr>
            <w:r w:rsidRPr="003A219B">
              <w:rPr>
                <w:rFonts w:eastAsiaTheme="minorEastAsia"/>
                <w:noProof/>
                <w:sz w:val="24"/>
                <w:szCs w:val="24"/>
                <w:lang w:eastAsia="el-GR"/>
              </w:rPr>
              <w:t xml:space="preserve">[ </w:t>
            </w:r>
            <w:r>
              <w:rPr>
                <w:rFonts w:eastAsiaTheme="minorEastAsia"/>
                <w:noProof/>
                <w:sz w:val="24"/>
                <w:szCs w:val="24"/>
                <w:lang w:val="en-US" w:eastAsia="el-GR"/>
              </w:rPr>
              <w:t>11</w:t>
            </w:r>
            <w:r w:rsidRPr="003A219B">
              <w:rPr>
                <w:rFonts w:eastAsiaTheme="minorEastAsia"/>
                <w:noProof/>
                <w:sz w:val="24"/>
                <w:szCs w:val="24"/>
                <w:lang w:eastAsia="el-GR"/>
              </w:rPr>
              <w:t xml:space="preserve">  - </w:t>
            </w:r>
            <w:r>
              <w:rPr>
                <w:rFonts w:eastAsiaTheme="minorEastAsia"/>
                <w:noProof/>
                <w:sz w:val="24"/>
                <w:szCs w:val="24"/>
                <w:lang w:val="en-US" w:eastAsia="el-GR"/>
              </w:rPr>
              <w:t>13</w:t>
            </w:r>
            <w:r w:rsidRPr="003A219B">
              <w:rPr>
                <w:rFonts w:eastAsiaTheme="minorEastAsia"/>
                <w:noProof/>
                <w:sz w:val="24"/>
                <w:szCs w:val="24"/>
                <w:lang w:eastAsia="el-GR"/>
              </w:rPr>
              <w:t xml:space="preserve">  )</w:t>
            </w:r>
          </w:p>
        </w:tc>
        <w:tc>
          <w:tcPr>
            <w:tcW w:w="1559" w:type="dxa"/>
          </w:tcPr>
          <w:p w:rsidR="00CA54D6" w:rsidRDefault="00CA54D6" w:rsidP="00CA54D6">
            <w:pPr>
              <w:jc w:val="center"/>
              <w:rPr>
                <w:rFonts w:eastAsiaTheme="minorEastAsia"/>
                <w:noProof/>
                <w:sz w:val="24"/>
                <w:szCs w:val="24"/>
                <w:lang w:eastAsia="el-GR"/>
              </w:rPr>
            </w:pPr>
            <w:r>
              <w:rPr>
                <w:rFonts w:eastAsiaTheme="minorEastAsia"/>
                <w:noProof/>
                <w:sz w:val="24"/>
                <w:szCs w:val="24"/>
                <w:lang w:eastAsia="el-GR"/>
              </w:rPr>
              <w:t>12</w:t>
            </w:r>
          </w:p>
        </w:tc>
        <w:tc>
          <w:tcPr>
            <w:tcW w:w="1843" w:type="dxa"/>
          </w:tcPr>
          <w:p w:rsidR="00CA54D6" w:rsidRDefault="00CA54D6" w:rsidP="00CA54D6">
            <w:pPr>
              <w:jc w:val="center"/>
              <w:rPr>
                <w:rFonts w:eastAsiaTheme="minorEastAsia"/>
                <w:noProof/>
                <w:sz w:val="24"/>
                <w:szCs w:val="24"/>
                <w:lang w:eastAsia="el-GR"/>
              </w:rPr>
            </w:pPr>
            <w:r>
              <w:rPr>
                <w:rFonts w:eastAsiaTheme="minorEastAsia"/>
                <w:noProof/>
                <w:sz w:val="24"/>
                <w:szCs w:val="24"/>
                <w:lang w:eastAsia="el-GR"/>
              </w:rPr>
              <w:t>20</w:t>
            </w:r>
          </w:p>
        </w:tc>
      </w:tr>
      <w:tr w:rsidR="00CA54D6" w:rsidTr="00CA54D6">
        <w:tc>
          <w:tcPr>
            <w:tcW w:w="1809" w:type="dxa"/>
          </w:tcPr>
          <w:p w:rsidR="00CA54D6" w:rsidRDefault="00CA54D6" w:rsidP="00CA54D6">
            <w:pPr>
              <w:jc w:val="center"/>
            </w:pPr>
            <w:r w:rsidRPr="003A219B">
              <w:rPr>
                <w:rFonts w:eastAsiaTheme="minorEastAsia"/>
                <w:noProof/>
                <w:sz w:val="24"/>
                <w:szCs w:val="24"/>
                <w:lang w:eastAsia="el-GR"/>
              </w:rPr>
              <w:t xml:space="preserve">[ </w:t>
            </w:r>
            <w:r>
              <w:rPr>
                <w:rFonts w:eastAsiaTheme="minorEastAsia"/>
                <w:noProof/>
                <w:sz w:val="24"/>
                <w:szCs w:val="24"/>
                <w:lang w:val="en-US" w:eastAsia="el-GR"/>
              </w:rPr>
              <w:t>13</w:t>
            </w:r>
            <w:r w:rsidRPr="003A219B">
              <w:rPr>
                <w:rFonts w:eastAsiaTheme="minorEastAsia"/>
                <w:noProof/>
                <w:sz w:val="24"/>
                <w:szCs w:val="24"/>
                <w:lang w:eastAsia="el-GR"/>
              </w:rPr>
              <w:t xml:space="preserve">  - </w:t>
            </w:r>
            <w:r>
              <w:rPr>
                <w:rFonts w:eastAsiaTheme="minorEastAsia"/>
                <w:noProof/>
                <w:sz w:val="24"/>
                <w:szCs w:val="24"/>
                <w:lang w:val="en-US" w:eastAsia="el-GR"/>
              </w:rPr>
              <w:t>15</w:t>
            </w:r>
            <w:r w:rsidRPr="003A219B">
              <w:rPr>
                <w:rFonts w:eastAsiaTheme="minorEastAsia"/>
                <w:noProof/>
                <w:sz w:val="24"/>
                <w:szCs w:val="24"/>
                <w:lang w:eastAsia="el-GR"/>
              </w:rPr>
              <w:t xml:space="preserve">  )</w:t>
            </w:r>
          </w:p>
        </w:tc>
        <w:tc>
          <w:tcPr>
            <w:tcW w:w="1559" w:type="dxa"/>
          </w:tcPr>
          <w:p w:rsidR="00CA54D6" w:rsidRDefault="00CA54D6" w:rsidP="00CA54D6">
            <w:pPr>
              <w:jc w:val="center"/>
              <w:rPr>
                <w:rFonts w:eastAsiaTheme="minorEastAsia"/>
                <w:noProof/>
                <w:sz w:val="24"/>
                <w:szCs w:val="24"/>
                <w:lang w:eastAsia="el-GR"/>
              </w:rPr>
            </w:pPr>
            <w:r>
              <w:rPr>
                <w:rFonts w:eastAsiaTheme="minorEastAsia"/>
                <w:noProof/>
                <w:sz w:val="24"/>
                <w:szCs w:val="24"/>
                <w:lang w:eastAsia="el-GR"/>
              </w:rPr>
              <w:t>14</w:t>
            </w:r>
          </w:p>
        </w:tc>
        <w:tc>
          <w:tcPr>
            <w:tcW w:w="1843" w:type="dxa"/>
          </w:tcPr>
          <w:p w:rsidR="00CA54D6" w:rsidRDefault="00CA54D6" w:rsidP="00CA54D6">
            <w:pPr>
              <w:jc w:val="center"/>
              <w:rPr>
                <w:rFonts w:eastAsiaTheme="minorEastAsia"/>
                <w:noProof/>
                <w:sz w:val="24"/>
                <w:szCs w:val="24"/>
                <w:lang w:eastAsia="el-GR"/>
              </w:rPr>
            </w:pPr>
            <w:r>
              <w:rPr>
                <w:rFonts w:eastAsiaTheme="minorEastAsia"/>
                <w:noProof/>
                <w:sz w:val="24"/>
                <w:szCs w:val="24"/>
                <w:lang w:eastAsia="el-GR"/>
              </w:rPr>
              <w:t>30</w:t>
            </w:r>
          </w:p>
        </w:tc>
      </w:tr>
      <w:tr w:rsidR="00CA54D6" w:rsidTr="00CA54D6">
        <w:tc>
          <w:tcPr>
            <w:tcW w:w="1809" w:type="dxa"/>
          </w:tcPr>
          <w:p w:rsidR="00CA54D6" w:rsidRDefault="00CA54D6" w:rsidP="00CA54D6">
            <w:pPr>
              <w:jc w:val="center"/>
            </w:pPr>
            <w:r w:rsidRPr="003A219B">
              <w:rPr>
                <w:rFonts w:eastAsiaTheme="minorEastAsia"/>
                <w:noProof/>
                <w:sz w:val="24"/>
                <w:szCs w:val="24"/>
                <w:lang w:eastAsia="el-GR"/>
              </w:rPr>
              <w:t xml:space="preserve">[ </w:t>
            </w:r>
            <w:r>
              <w:rPr>
                <w:rFonts w:eastAsiaTheme="minorEastAsia"/>
                <w:noProof/>
                <w:sz w:val="24"/>
                <w:szCs w:val="24"/>
                <w:lang w:val="en-US" w:eastAsia="el-GR"/>
              </w:rPr>
              <w:t>15</w:t>
            </w:r>
            <w:r w:rsidRPr="003A219B">
              <w:rPr>
                <w:rFonts w:eastAsiaTheme="minorEastAsia"/>
                <w:noProof/>
                <w:sz w:val="24"/>
                <w:szCs w:val="24"/>
                <w:lang w:eastAsia="el-GR"/>
              </w:rPr>
              <w:t xml:space="preserve">  -  </w:t>
            </w:r>
            <w:r>
              <w:rPr>
                <w:rFonts w:eastAsiaTheme="minorEastAsia"/>
                <w:noProof/>
                <w:sz w:val="24"/>
                <w:szCs w:val="24"/>
                <w:lang w:val="en-US" w:eastAsia="el-GR"/>
              </w:rPr>
              <w:t>17</w:t>
            </w:r>
            <w:r w:rsidRPr="003A219B">
              <w:rPr>
                <w:rFonts w:eastAsiaTheme="minorEastAsia"/>
                <w:noProof/>
                <w:sz w:val="24"/>
                <w:szCs w:val="24"/>
                <w:lang w:eastAsia="el-GR"/>
              </w:rPr>
              <w:t xml:space="preserve"> )</w:t>
            </w:r>
          </w:p>
        </w:tc>
        <w:tc>
          <w:tcPr>
            <w:tcW w:w="1559" w:type="dxa"/>
          </w:tcPr>
          <w:p w:rsidR="00CA54D6" w:rsidRDefault="00CA54D6" w:rsidP="00CA54D6">
            <w:pPr>
              <w:jc w:val="center"/>
              <w:rPr>
                <w:rFonts w:eastAsiaTheme="minorEastAsia"/>
                <w:noProof/>
                <w:sz w:val="24"/>
                <w:szCs w:val="24"/>
                <w:lang w:eastAsia="el-GR"/>
              </w:rPr>
            </w:pPr>
            <w:r>
              <w:rPr>
                <w:rFonts w:eastAsiaTheme="minorEastAsia"/>
                <w:noProof/>
                <w:sz w:val="24"/>
                <w:szCs w:val="24"/>
                <w:lang w:eastAsia="el-GR"/>
              </w:rPr>
              <w:t>16</w:t>
            </w:r>
          </w:p>
        </w:tc>
        <w:tc>
          <w:tcPr>
            <w:tcW w:w="1843" w:type="dxa"/>
          </w:tcPr>
          <w:p w:rsidR="00CA54D6" w:rsidRDefault="00CA54D6" w:rsidP="00CA54D6">
            <w:pPr>
              <w:jc w:val="center"/>
              <w:rPr>
                <w:rFonts w:eastAsiaTheme="minorEastAsia"/>
                <w:noProof/>
                <w:sz w:val="24"/>
                <w:szCs w:val="24"/>
                <w:lang w:eastAsia="el-GR"/>
              </w:rPr>
            </w:pPr>
            <w:r>
              <w:rPr>
                <w:rFonts w:eastAsiaTheme="minorEastAsia"/>
                <w:noProof/>
                <w:sz w:val="24"/>
                <w:szCs w:val="24"/>
                <w:lang w:eastAsia="el-GR"/>
              </w:rPr>
              <w:t>30</w:t>
            </w:r>
          </w:p>
        </w:tc>
      </w:tr>
      <w:tr w:rsidR="00CA54D6" w:rsidTr="00CA54D6">
        <w:tc>
          <w:tcPr>
            <w:tcW w:w="1809" w:type="dxa"/>
          </w:tcPr>
          <w:p w:rsidR="00CA54D6" w:rsidRDefault="00CA54D6" w:rsidP="00CA54D6">
            <w:pPr>
              <w:jc w:val="center"/>
            </w:pPr>
            <w:r w:rsidRPr="003A219B">
              <w:rPr>
                <w:rFonts w:eastAsiaTheme="minorEastAsia"/>
                <w:noProof/>
                <w:sz w:val="24"/>
                <w:szCs w:val="24"/>
                <w:lang w:eastAsia="el-GR"/>
              </w:rPr>
              <w:t xml:space="preserve">[ </w:t>
            </w:r>
            <w:r>
              <w:rPr>
                <w:rFonts w:eastAsiaTheme="minorEastAsia"/>
                <w:noProof/>
                <w:sz w:val="24"/>
                <w:szCs w:val="24"/>
                <w:lang w:val="en-US" w:eastAsia="el-GR"/>
              </w:rPr>
              <w:t>17</w:t>
            </w:r>
            <w:r w:rsidRPr="003A219B">
              <w:rPr>
                <w:rFonts w:eastAsiaTheme="minorEastAsia"/>
                <w:noProof/>
                <w:sz w:val="24"/>
                <w:szCs w:val="24"/>
                <w:lang w:eastAsia="el-GR"/>
              </w:rPr>
              <w:t xml:space="preserve">  - </w:t>
            </w:r>
            <w:r>
              <w:rPr>
                <w:rFonts w:eastAsiaTheme="minorEastAsia"/>
                <w:noProof/>
                <w:sz w:val="24"/>
                <w:szCs w:val="24"/>
                <w:lang w:val="en-US" w:eastAsia="el-GR"/>
              </w:rPr>
              <w:t>19</w:t>
            </w:r>
            <w:r w:rsidRPr="003A219B">
              <w:rPr>
                <w:rFonts w:eastAsiaTheme="minorEastAsia"/>
                <w:noProof/>
                <w:sz w:val="24"/>
                <w:szCs w:val="24"/>
                <w:lang w:eastAsia="el-GR"/>
              </w:rPr>
              <w:t xml:space="preserve">   )</w:t>
            </w:r>
          </w:p>
        </w:tc>
        <w:tc>
          <w:tcPr>
            <w:tcW w:w="1559" w:type="dxa"/>
          </w:tcPr>
          <w:p w:rsidR="00CA54D6" w:rsidRDefault="00CA54D6" w:rsidP="00CA54D6">
            <w:pPr>
              <w:jc w:val="center"/>
              <w:rPr>
                <w:rFonts w:eastAsiaTheme="minorEastAsia"/>
                <w:noProof/>
                <w:sz w:val="24"/>
                <w:szCs w:val="24"/>
                <w:lang w:eastAsia="el-GR"/>
              </w:rPr>
            </w:pPr>
            <w:r>
              <w:rPr>
                <w:rFonts w:eastAsiaTheme="minorEastAsia"/>
                <w:noProof/>
                <w:sz w:val="24"/>
                <w:szCs w:val="24"/>
                <w:lang w:eastAsia="el-GR"/>
              </w:rPr>
              <w:t>18</w:t>
            </w:r>
          </w:p>
        </w:tc>
        <w:tc>
          <w:tcPr>
            <w:tcW w:w="1843" w:type="dxa"/>
          </w:tcPr>
          <w:p w:rsidR="00CA54D6" w:rsidRDefault="00CA54D6" w:rsidP="00CA54D6">
            <w:pPr>
              <w:jc w:val="center"/>
              <w:rPr>
                <w:rFonts w:eastAsiaTheme="minorEastAsia"/>
                <w:noProof/>
                <w:sz w:val="24"/>
                <w:szCs w:val="24"/>
                <w:lang w:eastAsia="el-GR"/>
              </w:rPr>
            </w:pPr>
            <w:r>
              <w:rPr>
                <w:rFonts w:eastAsiaTheme="minorEastAsia"/>
                <w:noProof/>
                <w:sz w:val="24"/>
                <w:szCs w:val="24"/>
                <w:lang w:eastAsia="el-GR"/>
              </w:rPr>
              <w:t>10</w:t>
            </w:r>
          </w:p>
        </w:tc>
      </w:tr>
      <w:tr w:rsidR="00CA54D6" w:rsidTr="00CA54D6">
        <w:tc>
          <w:tcPr>
            <w:tcW w:w="1809" w:type="dxa"/>
          </w:tcPr>
          <w:p w:rsidR="00CA54D6" w:rsidRPr="00CA54D6" w:rsidRDefault="00CA54D6" w:rsidP="00CA54D6">
            <w:pPr>
              <w:jc w:val="center"/>
              <w:rPr>
                <w:b/>
              </w:rPr>
            </w:pPr>
            <w:r w:rsidRPr="00CA54D6">
              <w:rPr>
                <w:rFonts w:eastAsiaTheme="minorEastAsia"/>
                <w:b/>
                <w:noProof/>
                <w:sz w:val="24"/>
                <w:szCs w:val="24"/>
                <w:lang w:eastAsia="el-GR"/>
              </w:rPr>
              <w:t>ΣΥΝΟΛΟ</w:t>
            </w:r>
          </w:p>
        </w:tc>
        <w:tc>
          <w:tcPr>
            <w:tcW w:w="1559" w:type="dxa"/>
          </w:tcPr>
          <w:p w:rsidR="00CA54D6" w:rsidRPr="00CA54D6" w:rsidRDefault="00CA54D6" w:rsidP="00CA54D6">
            <w:pPr>
              <w:jc w:val="center"/>
              <w:rPr>
                <w:rFonts w:eastAsiaTheme="minorEastAsia"/>
                <w:b/>
                <w:noProof/>
                <w:sz w:val="24"/>
                <w:szCs w:val="24"/>
                <w:lang w:eastAsia="el-GR"/>
              </w:rPr>
            </w:pPr>
          </w:p>
        </w:tc>
        <w:tc>
          <w:tcPr>
            <w:tcW w:w="1843" w:type="dxa"/>
          </w:tcPr>
          <w:p w:rsidR="00CA54D6" w:rsidRPr="00CA54D6" w:rsidRDefault="00CA54D6" w:rsidP="00CA54D6">
            <w:pPr>
              <w:jc w:val="center"/>
              <w:rPr>
                <w:rFonts w:eastAsiaTheme="minorEastAsia"/>
                <w:b/>
                <w:noProof/>
                <w:sz w:val="24"/>
                <w:szCs w:val="24"/>
                <w:lang w:eastAsia="el-GR"/>
              </w:rPr>
            </w:pPr>
            <w:r w:rsidRPr="00CA54D6">
              <w:rPr>
                <w:rFonts w:eastAsiaTheme="minorEastAsia"/>
                <w:b/>
                <w:noProof/>
                <w:sz w:val="24"/>
                <w:szCs w:val="24"/>
                <w:lang w:eastAsia="el-GR"/>
              </w:rPr>
              <w:t>100</w:t>
            </w:r>
          </w:p>
        </w:tc>
      </w:tr>
    </w:tbl>
    <w:p w:rsidR="00CA54D6" w:rsidRDefault="00CA54D6" w:rsidP="00BE373D">
      <w:pPr>
        <w:ind w:left="284" w:hanging="284"/>
        <w:rPr>
          <w:rFonts w:eastAsiaTheme="minorEastAsia"/>
          <w:noProof/>
          <w:sz w:val="24"/>
          <w:szCs w:val="24"/>
          <w:lang w:eastAsia="el-GR"/>
        </w:rPr>
      </w:pPr>
    </w:p>
    <w:p w:rsidR="00866513" w:rsidRDefault="00866513" w:rsidP="00BE373D">
      <w:pPr>
        <w:ind w:left="284" w:hanging="284"/>
        <w:rPr>
          <w:rFonts w:eastAsiaTheme="minorEastAsia"/>
          <w:noProof/>
          <w:sz w:val="24"/>
          <w:szCs w:val="24"/>
          <w:lang w:eastAsia="el-GR"/>
        </w:rPr>
      </w:pPr>
      <w:r>
        <w:rPr>
          <w:rFonts w:eastAsiaTheme="minorEastAsia"/>
          <w:noProof/>
          <w:sz w:val="24"/>
          <w:szCs w:val="24"/>
          <w:lang w:eastAsia="el-GR"/>
        </w:rPr>
        <w:t xml:space="preserve">Γ4. Οι πωλητές που βρίσκονται στην κλάση </w:t>
      </w:r>
      <w:r w:rsidRPr="00866513">
        <w:rPr>
          <w:rFonts w:eastAsiaTheme="minorEastAsia"/>
          <w:noProof/>
          <w:sz w:val="24"/>
          <w:szCs w:val="24"/>
          <w:lang w:eastAsia="el-GR"/>
        </w:rPr>
        <w:t>[ 15  -  17 )</w:t>
      </w:r>
      <w:r>
        <w:rPr>
          <w:rFonts w:eastAsiaTheme="minorEastAsia"/>
          <w:noProof/>
          <w:sz w:val="24"/>
          <w:szCs w:val="24"/>
          <w:lang w:eastAsia="el-GR"/>
        </w:rPr>
        <w:t xml:space="preserve"> είναι το 30% του συνόλου και στην κλάση </w:t>
      </w:r>
      <w:r w:rsidRPr="00866513">
        <w:rPr>
          <w:rFonts w:eastAsiaTheme="minorEastAsia"/>
          <w:noProof/>
          <w:sz w:val="24"/>
          <w:szCs w:val="24"/>
          <w:lang w:eastAsia="el-GR"/>
        </w:rPr>
        <w:t>[ 1</w:t>
      </w:r>
      <w:r>
        <w:rPr>
          <w:rFonts w:eastAsiaTheme="minorEastAsia"/>
          <w:noProof/>
          <w:sz w:val="24"/>
          <w:szCs w:val="24"/>
          <w:lang w:eastAsia="el-GR"/>
        </w:rPr>
        <w:t>7</w:t>
      </w:r>
      <w:r w:rsidRPr="00866513">
        <w:rPr>
          <w:rFonts w:eastAsiaTheme="minorEastAsia"/>
          <w:noProof/>
          <w:sz w:val="24"/>
          <w:szCs w:val="24"/>
          <w:lang w:eastAsia="el-GR"/>
        </w:rPr>
        <w:t xml:space="preserve">  -  1</w:t>
      </w:r>
      <w:r>
        <w:rPr>
          <w:rFonts w:eastAsiaTheme="minorEastAsia"/>
          <w:noProof/>
          <w:sz w:val="24"/>
          <w:szCs w:val="24"/>
          <w:lang w:eastAsia="el-GR"/>
        </w:rPr>
        <w:t>9</w:t>
      </w:r>
      <w:r w:rsidRPr="00866513">
        <w:rPr>
          <w:rFonts w:eastAsiaTheme="minorEastAsia"/>
          <w:noProof/>
          <w:sz w:val="24"/>
          <w:szCs w:val="24"/>
          <w:lang w:eastAsia="el-GR"/>
        </w:rPr>
        <w:t xml:space="preserve"> )</w:t>
      </w:r>
      <w:r>
        <w:rPr>
          <w:rFonts w:eastAsiaTheme="minorEastAsia"/>
          <w:noProof/>
          <w:sz w:val="24"/>
          <w:szCs w:val="24"/>
          <w:lang w:eastAsia="el-GR"/>
        </w:rPr>
        <w:t xml:space="preserve"> το 10% άρα όσοι πέτυχαν πωλήσεις πάνω από 15000 είναι 30%+10%=40%</w:t>
      </w:r>
    </w:p>
    <w:p w:rsidR="00866513" w:rsidRPr="00E221FF" w:rsidRDefault="00866513" w:rsidP="00BE373D">
      <w:pPr>
        <w:ind w:left="284" w:hanging="284"/>
        <w:rPr>
          <w:rFonts w:eastAsiaTheme="minorEastAsia"/>
          <w:noProof/>
          <w:sz w:val="24"/>
          <w:szCs w:val="24"/>
          <w:lang w:eastAsia="el-GR"/>
        </w:rPr>
      </w:pPr>
      <w:r>
        <w:rPr>
          <w:rFonts w:eastAsiaTheme="minorEastAsia"/>
          <w:noProof/>
          <w:sz w:val="24"/>
          <w:szCs w:val="24"/>
          <w:lang w:eastAsia="el-GR"/>
        </w:rPr>
        <w:t xml:space="preserve">Γ5. Είναι γνωστό ότι, αν θεωρήσουμε ως μονάδα το πλάτος των κλάσεων στο οριζόντιο άξονα, το εμβαδόν του χωρίου που περικλείται μεταξύ του γραφήματος και του οριζόντιου άξονα είναι ίσο με το μέγεθος του δείγματος. Άρα ν=80 και συνεπώς το πλήθος των πωλητών που θα πάρουν το εφάπαξ είναι 80 </w:t>
      </w:r>
      <w:r w:rsidRPr="00866513">
        <w:rPr>
          <w:rFonts w:eastAsiaTheme="minorEastAsia"/>
          <w:noProof/>
          <w:sz w:val="28"/>
          <w:szCs w:val="28"/>
          <w:vertAlign w:val="superscript"/>
          <w:lang w:eastAsia="el-GR"/>
        </w:rPr>
        <w:t>.</w:t>
      </w:r>
      <w:r>
        <w:rPr>
          <w:rFonts w:eastAsiaTheme="minorEastAsia"/>
          <w:noProof/>
          <w:sz w:val="28"/>
          <w:szCs w:val="28"/>
          <w:vertAlign w:val="superscript"/>
          <w:lang w:eastAsia="el-GR"/>
        </w:rPr>
        <w:t xml:space="preserve"> </w:t>
      </w:r>
      <w:r w:rsidR="00E221FF">
        <w:rPr>
          <w:rFonts w:eastAsiaTheme="minorEastAsia"/>
          <w:noProof/>
          <w:sz w:val="24"/>
          <w:szCs w:val="24"/>
          <w:lang w:eastAsia="el-GR"/>
        </w:rPr>
        <w:t>40%=32 πωλητές.</w:t>
      </w:r>
      <w:bookmarkStart w:id="0" w:name="_GoBack"/>
      <w:bookmarkEnd w:id="0"/>
    </w:p>
    <w:p w:rsidR="00CA54D6" w:rsidRDefault="00CA54D6" w:rsidP="00BE373D">
      <w:pPr>
        <w:ind w:left="284" w:hanging="284"/>
        <w:rPr>
          <w:rFonts w:eastAsiaTheme="minorEastAsia"/>
          <w:noProof/>
          <w:sz w:val="24"/>
          <w:szCs w:val="24"/>
          <w:lang w:eastAsia="el-GR"/>
        </w:rPr>
      </w:pPr>
      <w:r>
        <w:rPr>
          <w:rFonts w:eastAsiaTheme="minorEastAsia"/>
          <w:noProof/>
          <w:sz w:val="24"/>
          <w:szCs w:val="24"/>
          <w:lang w:eastAsia="el-GR"/>
        </w:rPr>
        <w:t xml:space="preserve"> </w:t>
      </w:r>
    </w:p>
    <w:p w:rsidR="00D176E3" w:rsidRPr="00370429" w:rsidRDefault="00D176E3" w:rsidP="00BE373D">
      <w:pPr>
        <w:ind w:left="284" w:hanging="284"/>
        <w:rPr>
          <w:rFonts w:eastAsiaTheme="minorEastAsia"/>
          <w:sz w:val="24"/>
          <w:szCs w:val="24"/>
        </w:rPr>
      </w:pPr>
    </w:p>
    <w:p w:rsidR="00BE373D" w:rsidRPr="00BE373D" w:rsidRDefault="00BE373D" w:rsidP="00BE373D">
      <w:pPr>
        <w:ind w:left="284" w:hanging="284"/>
        <w:rPr>
          <w:rFonts w:eastAsiaTheme="minorEastAsia"/>
        </w:rPr>
      </w:pPr>
    </w:p>
    <w:p w:rsidR="00BE373D" w:rsidRDefault="00BE373D">
      <w:pPr>
        <w:rPr>
          <w:rFonts w:eastAsiaTheme="minorEastAsia"/>
          <w:b/>
        </w:rPr>
      </w:pPr>
    </w:p>
    <w:p w:rsidR="00BE373D" w:rsidRPr="00470136" w:rsidRDefault="00BE373D"/>
    <w:sectPr w:rsidR="00BE373D" w:rsidRPr="0047013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EEF" w:rsidRDefault="000D0EEF" w:rsidP="00CA54D6">
      <w:pPr>
        <w:spacing w:after="0" w:line="240" w:lineRule="auto"/>
      </w:pPr>
      <w:r>
        <w:separator/>
      </w:r>
    </w:p>
  </w:endnote>
  <w:endnote w:type="continuationSeparator" w:id="0">
    <w:p w:rsidR="000D0EEF" w:rsidRDefault="000D0EEF" w:rsidP="00CA5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AFF" w:usb1="C000605B" w:usb2="00000029" w:usb3="00000000" w:csb0="000101FF" w:csb1="00000000"/>
  </w:font>
  <w:font w:name="Cambria Math">
    <w:panose1 w:val="02040503050406030204"/>
    <w:charset w:val="A1"/>
    <w:family w:val="roman"/>
    <w:pitch w:val="variable"/>
    <w:sig w:usb0="A00002EF" w:usb1="420020E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D6" w:rsidRDefault="00CA54D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D6" w:rsidRDefault="00CA54D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D6" w:rsidRDefault="00CA54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EEF" w:rsidRDefault="000D0EEF" w:rsidP="00CA54D6">
      <w:pPr>
        <w:spacing w:after="0" w:line="240" w:lineRule="auto"/>
      </w:pPr>
      <w:r>
        <w:separator/>
      </w:r>
    </w:p>
  </w:footnote>
  <w:footnote w:type="continuationSeparator" w:id="0">
    <w:p w:rsidR="000D0EEF" w:rsidRDefault="000D0EEF" w:rsidP="00CA5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D6" w:rsidRDefault="00CA54D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499852"/>
      <w:docPartObj>
        <w:docPartGallery w:val="Watermarks"/>
        <w:docPartUnique/>
      </w:docPartObj>
    </w:sdtPr>
    <w:sdtContent>
      <w:p w:rsidR="00CA54D6" w:rsidRDefault="00CA54D6">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4368" o:spid="_x0000_s2049" type="#_x0000_t136" style="position:absolute;margin-left:0;margin-top:0;width:522.75pt;height:62.7pt;rotation:315;z-index:-251657216;mso-position-horizontal:center;mso-position-horizontal-relative:margin;mso-position-vertical:center;mso-position-vertical-relative:margin" o:allowincell="f" fillcolor="silver" stroked="f">
              <v:fill opacity=".5"/>
              <v:textpath style="font-family:&quot;calibri&quot;;font-size:1pt" string="μαθηματικά γενικής παιδείας"/>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D6" w:rsidRDefault="00CA54D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83"/>
    <w:rsid w:val="0005443F"/>
    <w:rsid w:val="000D0EEF"/>
    <w:rsid w:val="000F0234"/>
    <w:rsid w:val="00370429"/>
    <w:rsid w:val="00470136"/>
    <w:rsid w:val="004F2E95"/>
    <w:rsid w:val="005F1A7A"/>
    <w:rsid w:val="007A276B"/>
    <w:rsid w:val="00866513"/>
    <w:rsid w:val="0087120A"/>
    <w:rsid w:val="009F5C83"/>
    <w:rsid w:val="00BC2180"/>
    <w:rsid w:val="00BE373D"/>
    <w:rsid w:val="00C94B2E"/>
    <w:rsid w:val="00CA54D6"/>
    <w:rsid w:val="00D176E3"/>
    <w:rsid w:val="00E221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F1A7A"/>
    <w:rPr>
      <w:color w:val="808080"/>
    </w:rPr>
  </w:style>
  <w:style w:type="paragraph" w:styleId="a4">
    <w:name w:val="Balloon Text"/>
    <w:basedOn w:val="a"/>
    <w:link w:val="Char"/>
    <w:uiPriority w:val="99"/>
    <w:semiHidden/>
    <w:unhideWhenUsed/>
    <w:rsid w:val="005F1A7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F1A7A"/>
    <w:rPr>
      <w:rFonts w:ascii="Tahoma" w:hAnsi="Tahoma" w:cs="Tahoma"/>
      <w:sz w:val="16"/>
      <w:szCs w:val="16"/>
    </w:rPr>
  </w:style>
  <w:style w:type="paragraph" w:styleId="a5">
    <w:name w:val="header"/>
    <w:basedOn w:val="a"/>
    <w:link w:val="Char0"/>
    <w:uiPriority w:val="99"/>
    <w:unhideWhenUsed/>
    <w:rsid w:val="00CA54D6"/>
    <w:pPr>
      <w:tabs>
        <w:tab w:val="center" w:pos="4153"/>
        <w:tab w:val="right" w:pos="8306"/>
      </w:tabs>
      <w:spacing w:after="0" w:line="240" w:lineRule="auto"/>
    </w:pPr>
  </w:style>
  <w:style w:type="character" w:customStyle="1" w:styleId="Char0">
    <w:name w:val="Κεφαλίδα Char"/>
    <w:basedOn w:val="a0"/>
    <w:link w:val="a5"/>
    <w:uiPriority w:val="99"/>
    <w:rsid w:val="00CA54D6"/>
  </w:style>
  <w:style w:type="paragraph" w:styleId="a6">
    <w:name w:val="footer"/>
    <w:basedOn w:val="a"/>
    <w:link w:val="Char1"/>
    <w:uiPriority w:val="99"/>
    <w:unhideWhenUsed/>
    <w:rsid w:val="00CA54D6"/>
    <w:pPr>
      <w:tabs>
        <w:tab w:val="center" w:pos="4153"/>
        <w:tab w:val="right" w:pos="8306"/>
      </w:tabs>
      <w:spacing w:after="0" w:line="240" w:lineRule="auto"/>
    </w:pPr>
  </w:style>
  <w:style w:type="character" w:customStyle="1" w:styleId="Char1">
    <w:name w:val="Υποσέλιδο Char"/>
    <w:basedOn w:val="a0"/>
    <w:link w:val="a6"/>
    <w:uiPriority w:val="99"/>
    <w:rsid w:val="00CA54D6"/>
  </w:style>
  <w:style w:type="table" w:styleId="a7">
    <w:name w:val="Table Grid"/>
    <w:basedOn w:val="a1"/>
    <w:uiPriority w:val="59"/>
    <w:rsid w:val="00CA5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F1A7A"/>
    <w:rPr>
      <w:color w:val="808080"/>
    </w:rPr>
  </w:style>
  <w:style w:type="paragraph" w:styleId="a4">
    <w:name w:val="Balloon Text"/>
    <w:basedOn w:val="a"/>
    <w:link w:val="Char"/>
    <w:uiPriority w:val="99"/>
    <w:semiHidden/>
    <w:unhideWhenUsed/>
    <w:rsid w:val="005F1A7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F1A7A"/>
    <w:rPr>
      <w:rFonts w:ascii="Tahoma" w:hAnsi="Tahoma" w:cs="Tahoma"/>
      <w:sz w:val="16"/>
      <w:szCs w:val="16"/>
    </w:rPr>
  </w:style>
  <w:style w:type="paragraph" w:styleId="a5">
    <w:name w:val="header"/>
    <w:basedOn w:val="a"/>
    <w:link w:val="Char0"/>
    <w:uiPriority w:val="99"/>
    <w:unhideWhenUsed/>
    <w:rsid w:val="00CA54D6"/>
    <w:pPr>
      <w:tabs>
        <w:tab w:val="center" w:pos="4153"/>
        <w:tab w:val="right" w:pos="8306"/>
      </w:tabs>
      <w:spacing w:after="0" w:line="240" w:lineRule="auto"/>
    </w:pPr>
  </w:style>
  <w:style w:type="character" w:customStyle="1" w:styleId="Char0">
    <w:name w:val="Κεφαλίδα Char"/>
    <w:basedOn w:val="a0"/>
    <w:link w:val="a5"/>
    <w:uiPriority w:val="99"/>
    <w:rsid w:val="00CA54D6"/>
  </w:style>
  <w:style w:type="paragraph" w:styleId="a6">
    <w:name w:val="footer"/>
    <w:basedOn w:val="a"/>
    <w:link w:val="Char1"/>
    <w:uiPriority w:val="99"/>
    <w:unhideWhenUsed/>
    <w:rsid w:val="00CA54D6"/>
    <w:pPr>
      <w:tabs>
        <w:tab w:val="center" w:pos="4153"/>
        <w:tab w:val="right" w:pos="8306"/>
      </w:tabs>
      <w:spacing w:after="0" w:line="240" w:lineRule="auto"/>
    </w:pPr>
  </w:style>
  <w:style w:type="character" w:customStyle="1" w:styleId="Char1">
    <w:name w:val="Υποσέλιδο Char"/>
    <w:basedOn w:val="a0"/>
    <w:link w:val="a6"/>
    <w:uiPriority w:val="99"/>
    <w:rsid w:val="00CA54D6"/>
  </w:style>
  <w:style w:type="table" w:styleId="a7">
    <w:name w:val="Table Grid"/>
    <w:basedOn w:val="a1"/>
    <w:uiPriority w:val="59"/>
    <w:rsid w:val="00CA5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AFF" w:usb1="C000605B" w:usb2="00000029" w:usb3="00000000" w:csb0="000101FF" w:csb1="00000000"/>
  </w:font>
  <w:font w:name="Cambria Math">
    <w:panose1 w:val="02040503050406030204"/>
    <w:charset w:val="A1"/>
    <w:family w:val="roman"/>
    <w:pitch w:val="variable"/>
    <w:sig w:usb0="A00002EF" w:usb1="420020E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16"/>
    <w:rsid w:val="002D014F"/>
    <w:rsid w:val="005B01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B011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B01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377</Words>
  <Characters>2042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2012-03-15T15:33:00Z</dcterms:created>
  <dcterms:modified xsi:type="dcterms:W3CDTF">2012-03-15T19:42:00Z</dcterms:modified>
</cp:coreProperties>
</file>