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6E" w:rsidRDefault="002B6B6E" w:rsidP="002B6B6E">
      <w:pPr>
        <w:pStyle w:val="2"/>
        <w:jc w:val="left"/>
        <w:rPr>
          <w:color w:val="0000FF"/>
          <w:sz w:val="72"/>
        </w:rPr>
      </w:pPr>
      <w:r>
        <w:rPr>
          <w:noProof/>
          <w:color w:val="0000FF"/>
          <w:sz w:val="72"/>
        </w:rPr>
        <w:drawing>
          <wp:inline distT="0" distB="0" distL="0" distR="0">
            <wp:extent cx="323850" cy="342900"/>
            <wp:effectExtent l="19050" t="0" r="0" b="0"/>
            <wp:docPr id="1" name="Εικόνα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6" cstate="print"/>
                    <a:srcRect/>
                    <a:stretch>
                      <a:fillRect/>
                    </a:stretch>
                  </pic:blipFill>
                  <pic:spPr bwMode="auto">
                    <a:xfrm>
                      <a:off x="0" y="0"/>
                      <a:ext cx="323850" cy="342900"/>
                    </a:xfrm>
                    <a:prstGeom prst="rect">
                      <a:avLst/>
                    </a:prstGeom>
                    <a:noFill/>
                    <a:ln w="9525">
                      <a:noFill/>
                      <a:miter lim="800000"/>
                      <a:headEnd/>
                      <a:tailEnd/>
                    </a:ln>
                  </pic:spPr>
                </pic:pic>
              </a:graphicData>
            </a:graphic>
          </wp:inline>
        </w:drawing>
      </w:r>
    </w:p>
    <w:p w:rsidR="002B6B6E" w:rsidRDefault="002B6B6E" w:rsidP="002B6B6E">
      <w:pPr>
        <w:pStyle w:val="2"/>
        <w:jc w:val="left"/>
        <w:rPr>
          <w:sz w:val="28"/>
          <w:szCs w:val="28"/>
        </w:rPr>
      </w:pPr>
    </w:p>
    <w:tbl>
      <w:tblPr>
        <w:tblpPr w:leftFromText="180" w:rightFromText="180" w:vertAnchor="text" w:tblpY="1"/>
        <w:tblOverlap w:val="never"/>
        <w:tblW w:w="8835" w:type="dxa"/>
        <w:tblLayout w:type="fixed"/>
        <w:tblLook w:val="04A0"/>
      </w:tblPr>
      <w:tblGrid>
        <w:gridCol w:w="4876"/>
        <w:gridCol w:w="1709"/>
        <w:gridCol w:w="1317"/>
        <w:gridCol w:w="933"/>
      </w:tblGrid>
      <w:tr w:rsidR="002B6B6E" w:rsidTr="00115076">
        <w:tc>
          <w:tcPr>
            <w:tcW w:w="4878" w:type="dxa"/>
            <w:hideMark/>
          </w:tcPr>
          <w:p w:rsidR="002B6B6E" w:rsidRDefault="002B6B6E" w:rsidP="00115076">
            <w:pPr>
              <w:pStyle w:val="2"/>
              <w:jc w:val="left"/>
              <w:rPr>
                <w:sz w:val="20"/>
                <w:szCs w:val="20"/>
              </w:rPr>
            </w:pPr>
            <w:r>
              <w:rPr>
                <w:sz w:val="20"/>
                <w:szCs w:val="20"/>
              </w:rPr>
              <w:t>ΕΛΛΗΝΙΚΗ ΔΗΜΟΚΡΑΤΙΑ</w:t>
            </w:r>
          </w:p>
        </w:tc>
        <w:tc>
          <w:tcPr>
            <w:tcW w:w="1710" w:type="dxa"/>
            <w:vAlign w:val="center"/>
            <w:hideMark/>
          </w:tcPr>
          <w:p w:rsidR="002B6B6E" w:rsidRDefault="002B6B6E" w:rsidP="00115076">
            <w:pPr>
              <w:pStyle w:val="2"/>
              <w:jc w:val="left"/>
              <w:rPr>
                <w:b/>
                <w:bCs/>
                <w:sz w:val="20"/>
                <w:szCs w:val="20"/>
                <w:lang w:val="en-US"/>
              </w:rPr>
            </w:pPr>
            <w:r>
              <w:rPr>
                <w:b/>
                <w:bCs/>
                <w:sz w:val="20"/>
                <w:szCs w:val="20"/>
              </w:rPr>
              <w:t>Αθήνα</w:t>
            </w:r>
            <w:r>
              <w:rPr>
                <w:b/>
                <w:bCs/>
                <w:sz w:val="20"/>
                <w:szCs w:val="20"/>
                <w:lang w:val="en-US"/>
              </w:rPr>
              <w:t>,</w:t>
            </w:r>
          </w:p>
        </w:tc>
        <w:tc>
          <w:tcPr>
            <w:tcW w:w="2250" w:type="dxa"/>
            <w:gridSpan w:val="2"/>
            <w:hideMark/>
          </w:tcPr>
          <w:p w:rsidR="002B6B6E" w:rsidRDefault="002B6B6E" w:rsidP="00115076">
            <w:pPr>
              <w:pStyle w:val="2"/>
              <w:jc w:val="left"/>
              <w:rPr>
                <w:b/>
                <w:sz w:val="20"/>
                <w:szCs w:val="20"/>
              </w:rPr>
            </w:pPr>
            <w:r>
              <w:rPr>
                <w:b/>
                <w:sz w:val="20"/>
                <w:szCs w:val="20"/>
              </w:rPr>
              <w:t>18/06/ 2013</w:t>
            </w:r>
          </w:p>
        </w:tc>
      </w:tr>
      <w:tr w:rsidR="002B6B6E" w:rsidTr="00115076">
        <w:trPr>
          <w:gridAfter w:val="1"/>
          <w:wAfter w:w="933" w:type="dxa"/>
        </w:trPr>
        <w:tc>
          <w:tcPr>
            <w:tcW w:w="4878" w:type="dxa"/>
            <w:hideMark/>
          </w:tcPr>
          <w:p w:rsidR="002B6B6E" w:rsidRDefault="002B6B6E" w:rsidP="00115076">
            <w:pPr>
              <w:pStyle w:val="2"/>
              <w:jc w:val="left"/>
              <w:rPr>
                <w:sz w:val="20"/>
                <w:szCs w:val="20"/>
              </w:rPr>
            </w:pPr>
            <w:r>
              <w:rPr>
                <w:sz w:val="20"/>
                <w:szCs w:val="20"/>
              </w:rPr>
              <w:t>ΥΠΟΥΡΓΕΙΟ ΑΓΡΟΤΙΚΗΣ ΑΝΑΠΤΥΞΗΣ</w:t>
            </w:r>
          </w:p>
          <w:p w:rsidR="002B6B6E" w:rsidRDefault="002B6B6E" w:rsidP="00115076">
            <w:pPr>
              <w:pStyle w:val="2"/>
              <w:jc w:val="left"/>
              <w:rPr>
                <w:sz w:val="20"/>
                <w:szCs w:val="20"/>
              </w:rPr>
            </w:pPr>
            <w:r>
              <w:rPr>
                <w:sz w:val="20"/>
                <w:szCs w:val="20"/>
              </w:rPr>
              <w:t>&amp; ΤΡΟΦΙΜΩΝ</w:t>
            </w:r>
          </w:p>
        </w:tc>
        <w:tc>
          <w:tcPr>
            <w:tcW w:w="3027" w:type="dxa"/>
            <w:gridSpan w:val="2"/>
          </w:tcPr>
          <w:p w:rsidR="002B6B6E" w:rsidRDefault="002B6B6E" w:rsidP="00115076">
            <w:pPr>
              <w:pStyle w:val="2"/>
              <w:jc w:val="left"/>
              <w:rPr>
                <w:b/>
                <w:sz w:val="20"/>
                <w:szCs w:val="20"/>
              </w:rPr>
            </w:pPr>
          </w:p>
          <w:p w:rsidR="002B6B6E" w:rsidRPr="006830C5" w:rsidRDefault="002B6B6E" w:rsidP="002B6B6E">
            <w:pPr>
              <w:pStyle w:val="2"/>
              <w:jc w:val="left"/>
              <w:rPr>
                <w:b/>
                <w:sz w:val="20"/>
                <w:szCs w:val="20"/>
                <w:lang w:val="en-US"/>
              </w:rPr>
            </w:pPr>
            <w:r>
              <w:rPr>
                <w:b/>
                <w:sz w:val="20"/>
                <w:szCs w:val="20"/>
              </w:rPr>
              <w:t>Αρ.Πρωτ</w:t>
            </w:r>
            <w:r>
              <w:rPr>
                <w:b/>
                <w:sz w:val="20"/>
                <w:szCs w:val="20"/>
                <w:lang w:val="en-US"/>
              </w:rPr>
              <w:t>:</w:t>
            </w:r>
            <w:r>
              <w:rPr>
                <w:b/>
                <w:sz w:val="20"/>
                <w:szCs w:val="20"/>
              </w:rPr>
              <w:t xml:space="preserve"> </w:t>
            </w:r>
            <w:r w:rsidR="006830C5">
              <w:rPr>
                <w:b/>
                <w:sz w:val="20"/>
                <w:szCs w:val="20"/>
                <w:lang w:val="en-US"/>
              </w:rPr>
              <w:t>2515/75560</w:t>
            </w:r>
          </w:p>
        </w:tc>
      </w:tr>
      <w:tr w:rsidR="002B6B6E" w:rsidTr="00115076">
        <w:tc>
          <w:tcPr>
            <w:tcW w:w="4878" w:type="dxa"/>
            <w:hideMark/>
          </w:tcPr>
          <w:p w:rsidR="002B6B6E" w:rsidRDefault="002B6B6E" w:rsidP="00115076">
            <w:pPr>
              <w:pStyle w:val="2"/>
              <w:jc w:val="left"/>
              <w:rPr>
                <w:sz w:val="20"/>
                <w:szCs w:val="20"/>
              </w:rPr>
            </w:pPr>
            <w:r>
              <w:rPr>
                <w:sz w:val="20"/>
                <w:szCs w:val="20"/>
              </w:rPr>
              <w:t>ΓΕΝΙΚΗ ΔΙΕΥΘΥΝΣΗ ΚΤΗΝΙΑΤΡΙΚΗΣ</w:t>
            </w:r>
          </w:p>
        </w:tc>
        <w:tc>
          <w:tcPr>
            <w:tcW w:w="1710" w:type="dxa"/>
          </w:tcPr>
          <w:p w:rsidR="002B6B6E" w:rsidRDefault="002B6B6E" w:rsidP="00115076">
            <w:pPr>
              <w:pStyle w:val="2"/>
              <w:jc w:val="right"/>
              <w:rPr>
                <w:b/>
                <w:bCs/>
                <w:sz w:val="20"/>
                <w:szCs w:val="20"/>
              </w:rPr>
            </w:pPr>
          </w:p>
        </w:tc>
        <w:tc>
          <w:tcPr>
            <w:tcW w:w="2250" w:type="dxa"/>
            <w:gridSpan w:val="2"/>
          </w:tcPr>
          <w:p w:rsidR="002B6B6E" w:rsidRDefault="002B6B6E" w:rsidP="00115076">
            <w:pPr>
              <w:pStyle w:val="2"/>
              <w:jc w:val="left"/>
              <w:rPr>
                <w:sz w:val="20"/>
                <w:szCs w:val="20"/>
              </w:rPr>
            </w:pPr>
          </w:p>
        </w:tc>
      </w:tr>
      <w:tr w:rsidR="002B6B6E" w:rsidTr="00115076">
        <w:tc>
          <w:tcPr>
            <w:tcW w:w="4878" w:type="dxa"/>
            <w:hideMark/>
          </w:tcPr>
          <w:p w:rsidR="002B6B6E" w:rsidRDefault="002B6B6E" w:rsidP="00115076">
            <w:pPr>
              <w:pStyle w:val="2"/>
              <w:jc w:val="left"/>
              <w:rPr>
                <w:sz w:val="20"/>
                <w:szCs w:val="20"/>
              </w:rPr>
            </w:pPr>
            <w:r>
              <w:rPr>
                <w:sz w:val="20"/>
                <w:szCs w:val="20"/>
              </w:rPr>
              <w:t>Δ/ΝΣΗ ΥΓΕΙΑΣ ΤΩΝ ΖΩΩΝ</w:t>
            </w:r>
          </w:p>
        </w:tc>
        <w:tc>
          <w:tcPr>
            <w:tcW w:w="1710" w:type="dxa"/>
          </w:tcPr>
          <w:p w:rsidR="002B6B6E" w:rsidRDefault="002B6B6E" w:rsidP="00115076">
            <w:pPr>
              <w:pStyle w:val="2"/>
              <w:jc w:val="left"/>
              <w:rPr>
                <w:sz w:val="20"/>
                <w:szCs w:val="20"/>
              </w:rPr>
            </w:pPr>
          </w:p>
        </w:tc>
        <w:tc>
          <w:tcPr>
            <w:tcW w:w="2250" w:type="dxa"/>
            <w:gridSpan w:val="2"/>
          </w:tcPr>
          <w:p w:rsidR="002B6B6E" w:rsidRDefault="002B6B6E" w:rsidP="00115076">
            <w:pPr>
              <w:pStyle w:val="2"/>
              <w:jc w:val="left"/>
              <w:rPr>
                <w:sz w:val="20"/>
                <w:szCs w:val="20"/>
              </w:rPr>
            </w:pPr>
          </w:p>
        </w:tc>
      </w:tr>
      <w:tr w:rsidR="002B6B6E" w:rsidTr="00115076">
        <w:tc>
          <w:tcPr>
            <w:tcW w:w="4878" w:type="dxa"/>
            <w:hideMark/>
          </w:tcPr>
          <w:p w:rsidR="002B6B6E" w:rsidRDefault="002B6B6E" w:rsidP="00115076">
            <w:pPr>
              <w:pStyle w:val="2"/>
              <w:jc w:val="left"/>
              <w:rPr>
                <w:sz w:val="20"/>
                <w:szCs w:val="20"/>
              </w:rPr>
            </w:pPr>
            <w:r>
              <w:rPr>
                <w:sz w:val="20"/>
                <w:szCs w:val="20"/>
              </w:rPr>
              <w:t>ΤΜΗΜΑ ΖΩΟΑΝΘΡΩΠΟΝΟΣΩΝ</w:t>
            </w:r>
          </w:p>
        </w:tc>
        <w:tc>
          <w:tcPr>
            <w:tcW w:w="1710" w:type="dxa"/>
          </w:tcPr>
          <w:p w:rsidR="002B6B6E" w:rsidRDefault="002B6B6E" w:rsidP="00115076">
            <w:pPr>
              <w:pStyle w:val="2"/>
              <w:jc w:val="left"/>
              <w:rPr>
                <w:sz w:val="20"/>
                <w:szCs w:val="20"/>
              </w:rPr>
            </w:pPr>
          </w:p>
        </w:tc>
        <w:tc>
          <w:tcPr>
            <w:tcW w:w="2250" w:type="dxa"/>
            <w:gridSpan w:val="2"/>
          </w:tcPr>
          <w:p w:rsidR="002B6B6E" w:rsidRDefault="002B6B6E" w:rsidP="00115076">
            <w:pPr>
              <w:pStyle w:val="2"/>
              <w:jc w:val="left"/>
              <w:rPr>
                <w:sz w:val="20"/>
                <w:szCs w:val="20"/>
              </w:rPr>
            </w:pPr>
          </w:p>
        </w:tc>
      </w:tr>
    </w:tbl>
    <w:p w:rsidR="002B6B6E" w:rsidRDefault="002B6B6E" w:rsidP="002B6B6E">
      <w:pPr>
        <w:pStyle w:val="2"/>
        <w:jc w:val="left"/>
        <w:rPr>
          <w:sz w:val="20"/>
          <w:szCs w:val="20"/>
        </w:rPr>
      </w:pPr>
    </w:p>
    <w:tbl>
      <w:tblPr>
        <w:tblW w:w="9885" w:type="dxa"/>
        <w:tblLayout w:type="fixed"/>
        <w:tblLook w:val="04A0"/>
      </w:tblPr>
      <w:tblGrid>
        <w:gridCol w:w="1711"/>
        <w:gridCol w:w="348"/>
        <w:gridCol w:w="2442"/>
        <w:gridCol w:w="1095"/>
        <w:gridCol w:w="4289"/>
      </w:tblGrid>
      <w:tr w:rsidR="002B6B6E" w:rsidTr="00115076">
        <w:tc>
          <w:tcPr>
            <w:tcW w:w="1712" w:type="dxa"/>
            <w:hideMark/>
          </w:tcPr>
          <w:p w:rsidR="002B6B6E" w:rsidRDefault="002B6B6E" w:rsidP="00115076">
            <w:pPr>
              <w:pStyle w:val="2"/>
              <w:jc w:val="left"/>
              <w:rPr>
                <w:sz w:val="20"/>
                <w:szCs w:val="20"/>
              </w:rPr>
            </w:pPr>
            <w:r>
              <w:rPr>
                <w:sz w:val="20"/>
                <w:szCs w:val="20"/>
              </w:rPr>
              <w:t xml:space="preserve">Ταχ. Δ/νση  </w:t>
            </w:r>
          </w:p>
          <w:p w:rsidR="002B6B6E" w:rsidRDefault="002B6B6E" w:rsidP="00115076">
            <w:pPr>
              <w:pStyle w:val="2"/>
              <w:jc w:val="left"/>
              <w:rPr>
                <w:sz w:val="20"/>
                <w:szCs w:val="20"/>
              </w:rPr>
            </w:pPr>
            <w:r>
              <w:rPr>
                <w:sz w:val="20"/>
                <w:szCs w:val="20"/>
              </w:rPr>
              <w:t>Ταχ. Κώδικας</w:t>
            </w:r>
          </w:p>
          <w:p w:rsidR="002B6B6E" w:rsidRDefault="002B6B6E" w:rsidP="00115076">
            <w:pPr>
              <w:pStyle w:val="2"/>
              <w:jc w:val="left"/>
              <w:rPr>
                <w:sz w:val="20"/>
                <w:szCs w:val="20"/>
              </w:rPr>
            </w:pPr>
            <w:r>
              <w:rPr>
                <w:sz w:val="20"/>
                <w:szCs w:val="20"/>
              </w:rPr>
              <w:t>Πληροφορίες</w:t>
            </w:r>
          </w:p>
        </w:tc>
        <w:tc>
          <w:tcPr>
            <w:tcW w:w="348" w:type="dxa"/>
            <w:hideMark/>
          </w:tcPr>
          <w:p w:rsidR="002B6B6E" w:rsidRDefault="002B6B6E" w:rsidP="00115076">
            <w:pPr>
              <w:pStyle w:val="2"/>
              <w:jc w:val="left"/>
              <w:rPr>
                <w:sz w:val="20"/>
                <w:szCs w:val="20"/>
              </w:rPr>
            </w:pPr>
            <w:r>
              <w:rPr>
                <w:sz w:val="20"/>
                <w:szCs w:val="20"/>
              </w:rPr>
              <w:t>:</w:t>
            </w:r>
          </w:p>
          <w:p w:rsidR="002B6B6E" w:rsidRDefault="002B6B6E" w:rsidP="00115076">
            <w:pPr>
              <w:pStyle w:val="2"/>
              <w:jc w:val="left"/>
              <w:rPr>
                <w:sz w:val="20"/>
                <w:szCs w:val="20"/>
              </w:rPr>
            </w:pPr>
            <w:r>
              <w:rPr>
                <w:sz w:val="20"/>
                <w:szCs w:val="20"/>
              </w:rPr>
              <w:t>:</w:t>
            </w:r>
          </w:p>
          <w:p w:rsidR="002B6B6E" w:rsidRDefault="002B6B6E" w:rsidP="00115076">
            <w:pPr>
              <w:pStyle w:val="2"/>
              <w:jc w:val="left"/>
              <w:rPr>
                <w:sz w:val="20"/>
                <w:szCs w:val="20"/>
              </w:rPr>
            </w:pPr>
            <w:r>
              <w:rPr>
                <w:sz w:val="20"/>
                <w:szCs w:val="20"/>
              </w:rPr>
              <w:t>:</w:t>
            </w:r>
          </w:p>
        </w:tc>
        <w:tc>
          <w:tcPr>
            <w:tcW w:w="2443" w:type="dxa"/>
            <w:hideMark/>
          </w:tcPr>
          <w:p w:rsidR="002B6B6E" w:rsidRDefault="002B6B6E" w:rsidP="00115076">
            <w:pPr>
              <w:pStyle w:val="2"/>
              <w:jc w:val="left"/>
              <w:rPr>
                <w:sz w:val="20"/>
                <w:szCs w:val="20"/>
              </w:rPr>
            </w:pPr>
            <w:r>
              <w:rPr>
                <w:sz w:val="20"/>
                <w:szCs w:val="20"/>
              </w:rPr>
              <w:t xml:space="preserve">Αχαρνών 2 </w:t>
            </w:r>
          </w:p>
          <w:p w:rsidR="002B6B6E" w:rsidRDefault="002B6B6E" w:rsidP="00115076">
            <w:pPr>
              <w:pStyle w:val="2"/>
              <w:jc w:val="left"/>
              <w:rPr>
                <w:sz w:val="20"/>
                <w:szCs w:val="20"/>
              </w:rPr>
            </w:pPr>
            <w:r>
              <w:rPr>
                <w:sz w:val="20"/>
                <w:szCs w:val="20"/>
              </w:rPr>
              <w:t xml:space="preserve">10176 Αθήνα </w:t>
            </w:r>
          </w:p>
          <w:p w:rsidR="002B6B6E" w:rsidRDefault="002B6B6E" w:rsidP="00115076">
            <w:pPr>
              <w:pStyle w:val="2"/>
              <w:jc w:val="left"/>
              <w:rPr>
                <w:sz w:val="20"/>
                <w:szCs w:val="20"/>
              </w:rPr>
            </w:pPr>
            <w:r>
              <w:rPr>
                <w:sz w:val="20"/>
                <w:szCs w:val="20"/>
              </w:rPr>
              <w:t>Μ. Κορού/Μ.Τζανή</w:t>
            </w:r>
          </w:p>
          <w:p w:rsidR="002B6B6E" w:rsidRDefault="002B6B6E" w:rsidP="00115076">
            <w:pPr>
              <w:pStyle w:val="2"/>
              <w:jc w:val="left"/>
              <w:rPr>
                <w:sz w:val="20"/>
                <w:szCs w:val="20"/>
              </w:rPr>
            </w:pPr>
            <w:r>
              <w:rPr>
                <w:sz w:val="20"/>
                <w:szCs w:val="20"/>
              </w:rPr>
              <w:t>Π.Κώστογλου</w:t>
            </w:r>
          </w:p>
        </w:tc>
        <w:tc>
          <w:tcPr>
            <w:tcW w:w="1095" w:type="dxa"/>
          </w:tcPr>
          <w:p w:rsidR="002B6B6E" w:rsidRDefault="002B6B6E" w:rsidP="00115076">
            <w:pPr>
              <w:pStyle w:val="2"/>
              <w:jc w:val="left"/>
              <w:rPr>
                <w:b/>
                <w:bCs/>
                <w:sz w:val="20"/>
                <w:szCs w:val="20"/>
              </w:rPr>
            </w:pPr>
          </w:p>
        </w:tc>
        <w:tc>
          <w:tcPr>
            <w:tcW w:w="4291" w:type="dxa"/>
            <w:hideMark/>
          </w:tcPr>
          <w:p w:rsidR="002C678F" w:rsidRPr="00F06C48" w:rsidRDefault="002B6B6E" w:rsidP="002B6B6E">
            <w:pPr>
              <w:pStyle w:val="a3"/>
              <w:numPr>
                <w:ilvl w:val="0"/>
                <w:numId w:val="3"/>
              </w:numPr>
              <w:tabs>
                <w:tab w:val="left" w:pos="2850"/>
              </w:tabs>
              <w:rPr>
                <w:rFonts w:ascii="Arial" w:hAnsi="Arial" w:cs="Arial"/>
                <w:sz w:val="18"/>
                <w:szCs w:val="18"/>
              </w:rPr>
            </w:pPr>
            <w:r w:rsidRPr="00F06C48">
              <w:rPr>
                <w:rFonts w:ascii="Arial" w:hAnsi="Arial" w:cs="Arial"/>
                <w:sz w:val="18"/>
                <w:szCs w:val="18"/>
              </w:rPr>
              <w:t>Υπουργείο Παιδείας και Θρησκευμάτων</w:t>
            </w:r>
            <w:r w:rsidR="002C678F" w:rsidRPr="00F06C48">
              <w:rPr>
                <w:rFonts w:ascii="Arial" w:hAnsi="Arial" w:cs="Arial"/>
                <w:sz w:val="18"/>
                <w:szCs w:val="18"/>
              </w:rPr>
              <w:t xml:space="preserve"> Πολιτισμού και Αθλητισμού</w:t>
            </w:r>
            <w:r w:rsidRPr="00F06C48">
              <w:rPr>
                <w:rFonts w:ascii="Arial" w:hAnsi="Arial" w:cs="Arial"/>
                <w:sz w:val="18"/>
                <w:szCs w:val="18"/>
              </w:rPr>
              <w:t xml:space="preserve">   </w:t>
            </w:r>
          </w:p>
          <w:p w:rsidR="002C678F" w:rsidRPr="00F06C48" w:rsidRDefault="00A5292B" w:rsidP="002C678F">
            <w:pPr>
              <w:pStyle w:val="a3"/>
              <w:tabs>
                <w:tab w:val="left" w:pos="2850"/>
              </w:tabs>
              <w:ind w:left="450"/>
              <w:rPr>
                <w:rFonts w:ascii="Arial" w:hAnsi="Arial" w:cs="Arial"/>
                <w:sz w:val="18"/>
                <w:szCs w:val="18"/>
              </w:rPr>
            </w:pPr>
            <w:r w:rsidRPr="00F06C48">
              <w:rPr>
                <w:rFonts w:ascii="Arial" w:hAnsi="Arial" w:cs="Arial"/>
                <w:sz w:val="18"/>
                <w:szCs w:val="18"/>
              </w:rPr>
              <w:t>Γενική Δ/νση Διοίκησης Πρωτοβάθμιας και Δευτεροβάθμιας Εκπαίδευσης</w:t>
            </w:r>
          </w:p>
          <w:p w:rsidR="00F06C48" w:rsidRPr="00F06C48" w:rsidRDefault="00F06C48" w:rsidP="002C678F">
            <w:pPr>
              <w:pStyle w:val="a3"/>
              <w:tabs>
                <w:tab w:val="left" w:pos="2850"/>
              </w:tabs>
              <w:ind w:left="450"/>
              <w:rPr>
                <w:rFonts w:ascii="Arial" w:hAnsi="Arial" w:cs="Arial"/>
                <w:b/>
                <w:sz w:val="18"/>
                <w:szCs w:val="18"/>
              </w:rPr>
            </w:pPr>
            <w:r w:rsidRPr="00F06C48">
              <w:rPr>
                <w:rFonts w:ascii="Arial" w:hAnsi="Arial" w:cs="Arial"/>
                <w:sz w:val="18"/>
                <w:szCs w:val="18"/>
              </w:rPr>
              <w:t xml:space="preserve">Υπόψη κας </w:t>
            </w:r>
            <w:r w:rsidRPr="00F06C48">
              <w:rPr>
                <w:rFonts w:ascii="Arial" w:hAnsi="Arial" w:cs="Arial"/>
                <w:b/>
                <w:sz w:val="18"/>
                <w:szCs w:val="18"/>
              </w:rPr>
              <w:t>Καρδαμίτση</w:t>
            </w:r>
          </w:p>
          <w:p w:rsidR="002B6B6E" w:rsidRPr="00F06C48" w:rsidRDefault="00A5292B" w:rsidP="002C678F">
            <w:pPr>
              <w:pStyle w:val="a3"/>
              <w:tabs>
                <w:tab w:val="left" w:pos="2850"/>
              </w:tabs>
              <w:ind w:left="450"/>
              <w:rPr>
                <w:rFonts w:ascii="Arial" w:hAnsi="Arial" w:cs="Arial"/>
                <w:sz w:val="18"/>
                <w:szCs w:val="18"/>
              </w:rPr>
            </w:pPr>
            <w:r w:rsidRPr="00F06C48">
              <w:rPr>
                <w:rFonts w:ascii="Arial" w:hAnsi="Arial" w:cs="Arial"/>
                <w:sz w:val="18"/>
                <w:szCs w:val="18"/>
              </w:rPr>
              <w:t>ΦΑΞ :210-3442</w:t>
            </w:r>
            <w:r w:rsidR="00F06C48" w:rsidRPr="00F06C48">
              <w:rPr>
                <w:rFonts w:ascii="Arial" w:hAnsi="Arial" w:cs="Arial"/>
                <w:sz w:val="18"/>
                <w:szCs w:val="18"/>
              </w:rPr>
              <w:t>582</w:t>
            </w:r>
          </w:p>
        </w:tc>
      </w:tr>
      <w:tr w:rsidR="002B6B6E" w:rsidTr="00115076">
        <w:tc>
          <w:tcPr>
            <w:tcW w:w="1712" w:type="dxa"/>
            <w:hideMark/>
          </w:tcPr>
          <w:p w:rsidR="002B6B6E" w:rsidRDefault="002B6B6E" w:rsidP="00115076">
            <w:pPr>
              <w:pStyle w:val="2"/>
              <w:jc w:val="left"/>
              <w:rPr>
                <w:sz w:val="20"/>
                <w:szCs w:val="20"/>
              </w:rPr>
            </w:pPr>
            <w:r>
              <w:rPr>
                <w:sz w:val="20"/>
                <w:szCs w:val="20"/>
              </w:rPr>
              <w:t>Τηλέφωνο</w:t>
            </w:r>
          </w:p>
        </w:tc>
        <w:tc>
          <w:tcPr>
            <w:tcW w:w="348" w:type="dxa"/>
            <w:hideMark/>
          </w:tcPr>
          <w:p w:rsidR="002B6B6E" w:rsidRDefault="002B6B6E" w:rsidP="00115076">
            <w:pPr>
              <w:pStyle w:val="2"/>
              <w:jc w:val="left"/>
              <w:rPr>
                <w:sz w:val="20"/>
                <w:szCs w:val="20"/>
              </w:rPr>
            </w:pPr>
            <w:r>
              <w:rPr>
                <w:sz w:val="20"/>
                <w:szCs w:val="20"/>
              </w:rPr>
              <w:t>:</w:t>
            </w:r>
          </w:p>
        </w:tc>
        <w:tc>
          <w:tcPr>
            <w:tcW w:w="2443" w:type="dxa"/>
            <w:hideMark/>
          </w:tcPr>
          <w:p w:rsidR="002B6B6E" w:rsidRDefault="002B6B6E" w:rsidP="00115076">
            <w:pPr>
              <w:pStyle w:val="2"/>
              <w:jc w:val="left"/>
              <w:rPr>
                <w:sz w:val="20"/>
                <w:szCs w:val="20"/>
              </w:rPr>
            </w:pPr>
            <w:r>
              <w:rPr>
                <w:sz w:val="20"/>
                <w:szCs w:val="20"/>
              </w:rPr>
              <w:t>210 212 5725-22</w:t>
            </w:r>
          </w:p>
        </w:tc>
        <w:tc>
          <w:tcPr>
            <w:tcW w:w="1095" w:type="dxa"/>
            <w:vAlign w:val="center"/>
          </w:tcPr>
          <w:p w:rsidR="002B6B6E" w:rsidRDefault="002B6B6E" w:rsidP="00115076">
            <w:pPr>
              <w:pStyle w:val="2"/>
              <w:jc w:val="left"/>
              <w:rPr>
                <w:b/>
                <w:sz w:val="20"/>
                <w:szCs w:val="20"/>
              </w:rPr>
            </w:pPr>
          </w:p>
        </w:tc>
        <w:tc>
          <w:tcPr>
            <w:tcW w:w="4291" w:type="dxa"/>
            <w:vMerge w:val="restart"/>
          </w:tcPr>
          <w:p w:rsidR="002B6B6E" w:rsidRDefault="002B6B6E" w:rsidP="00115076">
            <w:pPr>
              <w:pStyle w:val="2"/>
              <w:jc w:val="left"/>
              <w:rPr>
                <w:i/>
                <w:sz w:val="18"/>
                <w:szCs w:val="18"/>
              </w:rPr>
            </w:pPr>
          </w:p>
          <w:p w:rsidR="002B6B6E" w:rsidRDefault="002B6B6E" w:rsidP="00115076">
            <w:pPr>
              <w:pStyle w:val="2"/>
              <w:jc w:val="left"/>
              <w:rPr>
                <w:b/>
                <w:sz w:val="18"/>
                <w:szCs w:val="18"/>
              </w:rPr>
            </w:pPr>
            <w:r>
              <w:rPr>
                <w:b/>
                <w:sz w:val="18"/>
                <w:szCs w:val="18"/>
              </w:rPr>
              <w:t xml:space="preserve"> </w:t>
            </w:r>
          </w:p>
        </w:tc>
      </w:tr>
      <w:tr w:rsidR="002B6B6E" w:rsidTr="00115076">
        <w:tc>
          <w:tcPr>
            <w:tcW w:w="1712" w:type="dxa"/>
            <w:hideMark/>
          </w:tcPr>
          <w:p w:rsidR="002B6B6E" w:rsidRDefault="002B6B6E" w:rsidP="00115076">
            <w:pPr>
              <w:pStyle w:val="2"/>
              <w:jc w:val="left"/>
              <w:rPr>
                <w:sz w:val="20"/>
                <w:szCs w:val="20"/>
              </w:rPr>
            </w:pPr>
            <w:r>
              <w:rPr>
                <w:sz w:val="20"/>
                <w:szCs w:val="20"/>
                <w:lang w:val="en-US"/>
              </w:rPr>
              <w:t>Fax</w:t>
            </w:r>
          </w:p>
          <w:p w:rsidR="002B6B6E" w:rsidRDefault="002B6B6E" w:rsidP="00115076">
            <w:pPr>
              <w:pStyle w:val="2"/>
              <w:jc w:val="left"/>
              <w:rPr>
                <w:sz w:val="20"/>
                <w:szCs w:val="20"/>
              </w:rPr>
            </w:pPr>
            <w:r>
              <w:rPr>
                <w:sz w:val="20"/>
                <w:szCs w:val="20"/>
                <w:lang w:val="en-US"/>
              </w:rPr>
              <w:t>e</w:t>
            </w:r>
            <w:r>
              <w:rPr>
                <w:sz w:val="20"/>
                <w:szCs w:val="20"/>
              </w:rPr>
              <w:t>-</w:t>
            </w:r>
            <w:r>
              <w:rPr>
                <w:sz w:val="20"/>
                <w:szCs w:val="20"/>
                <w:lang w:val="en-US"/>
              </w:rPr>
              <w:t>mail</w:t>
            </w:r>
            <w:r>
              <w:rPr>
                <w:sz w:val="20"/>
                <w:szCs w:val="20"/>
              </w:rPr>
              <w:t xml:space="preserve"> </w:t>
            </w:r>
          </w:p>
        </w:tc>
        <w:tc>
          <w:tcPr>
            <w:tcW w:w="348" w:type="dxa"/>
            <w:hideMark/>
          </w:tcPr>
          <w:p w:rsidR="002B6B6E" w:rsidRDefault="002B6B6E" w:rsidP="00115076">
            <w:pPr>
              <w:pStyle w:val="2"/>
              <w:jc w:val="left"/>
              <w:rPr>
                <w:sz w:val="20"/>
                <w:szCs w:val="20"/>
              </w:rPr>
            </w:pPr>
            <w:r>
              <w:rPr>
                <w:sz w:val="20"/>
                <w:szCs w:val="20"/>
              </w:rPr>
              <w:t>:</w:t>
            </w:r>
          </w:p>
          <w:p w:rsidR="002B6B6E" w:rsidRDefault="002B6B6E" w:rsidP="00115076">
            <w:pPr>
              <w:pStyle w:val="2"/>
              <w:jc w:val="left"/>
              <w:rPr>
                <w:sz w:val="20"/>
                <w:szCs w:val="20"/>
              </w:rPr>
            </w:pPr>
            <w:r>
              <w:rPr>
                <w:sz w:val="20"/>
                <w:szCs w:val="20"/>
              </w:rPr>
              <w:t>:</w:t>
            </w:r>
          </w:p>
        </w:tc>
        <w:tc>
          <w:tcPr>
            <w:tcW w:w="2443" w:type="dxa"/>
            <w:hideMark/>
          </w:tcPr>
          <w:p w:rsidR="002B6B6E" w:rsidRDefault="002B6B6E" w:rsidP="00115076">
            <w:pPr>
              <w:pStyle w:val="2"/>
              <w:jc w:val="left"/>
              <w:rPr>
                <w:sz w:val="20"/>
                <w:szCs w:val="20"/>
              </w:rPr>
            </w:pPr>
            <w:r>
              <w:rPr>
                <w:sz w:val="20"/>
                <w:szCs w:val="20"/>
              </w:rPr>
              <w:t>210 8252614</w:t>
            </w:r>
          </w:p>
          <w:p w:rsidR="002B6B6E" w:rsidRDefault="001D0AB2" w:rsidP="00115076">
            <w:pPr>
              <w:pStyle w:val="2"/>
              <w:jc w:val="left"/>
              <w:rPr>
                <w:sz w:val="18"/>
                <w:szCs w:val="18"/>
              </w:rPr>
            </w:pPr>
            <w:hyperlink r:id="rId7" w:history="1">
              <w:r w:rsidR="002B6B6E">
                <w:rPr>
                  <w:rStyle w:val="-"/>
                  <w:sz w:val="18"/>
                  <w:szCs w:val="18"/>
                </w:rPr>
                <w:t>Κ</w:t>
              </w:r>
              <w:r w:rsidR="002B6B6E">
                <w:rPr>
                  <w:rStyle w:val="-"/>
                  <w:sz w:val="18"/>
                  <w:szCs w:val="18"/>
                  <w:lang w:val="en-US"/>
                </w:rPr>
                <w:t>a</w:t>
              </w:r>
              <w:r w:rsidR="002B6B6E">
                <w:rPr>
                  <w:rStyle w:val="-"/>
                  <w:sz w:val="18"/>
                  <w:szCs w:val="18"/>
                </w:rPr>
                <w:t>6</w:t>
              </w:r>
              <w:r w:rsidR="002B6B6E">
                <w:rPr>
                  <w:rStyle w:val="-"/>
                  <w:sz w:val="18"/>
                  <w:szCs w:val="18"/>
                  <w:lang w:val="en-US"/>
                </w:rPr>
                <w:t>u</w:t>
              </w:r>
              <w:r w:rsidR="002B6B6E">
                <w:rPr>
                  <w:rStyle w:val="-"/>
                  <w:sz w:val="18"/>
                  <w:szCs w:val="18"/>
                </w:rPr>
                <w:t>009@</w:t>
              </w:r>
              <w:r w:rsidR="002B6B6E">
                <w:rPr>
                  <w:rStyle w:val="-"/>
                  <w:sz w:val="18"/>
                  <w:szCs w:val="18"/>
                  <w:lang w:val="en-US"/>
                </w:rPr>
                <w:t>minagric</w:t>
              </w:r>
              <w:r w:rsidR="002B6B6E">
                <w:rPr>
                  <w:rStyle w:val="-"/>
                  <w:sz w:val="18"/>
                  <w:szCs w:val="18"/>
                </w:rPr>
                <w:t>.</w:t>
              </w:r>
              <w:r w:rsidR="002B6B6E">
                <w:rPr>
                  <w:rStyle w:val="-"/>
                  <w:sz w:val="18"/>
                  <w:szCs w:val="18"/>
                  <w:lang w:val="en-US"/>
                </w:rPr>
                <w:t>gr</w:t>
              </w:r>
            </w:hyperlink>
          </w:p>
          <w:p w:rsidR="002B6B6E" w:rsidRDefault="001D0AB2" w:rsidP="00115076">
            <w:pPr>
              <w:pStyle w:val="2"/>
              <w:jc w:val="left"/>
              <w:rPr>
                <w:sz w:val="18"/>
                <w:szCs w:val="18"/>
              </w:rPr>
            </w:pPr>
            <w:hyperlink r:id="rId8" w:history="1">
              <w:r w:rsidR="002B6B6E">
                <w:rPr>
                  <w:rStyle w:val="-"/>
                  <w:sz w:val="18"/>
                  <w:szCs w:val="18"/>
                  <w:lang w:val="en-US"/>
                </w:rPr>
                <w:t>Ka</w:t>
              </w:r>
              <w:r w:rsidR="002B6B6E">
                <w:rPr>
                  <w:rStyle w:val="-"/>
                  <w:sz w:val="18"/>
                  <w:szCs w:val="18"/>
                </w:rPr>
                <w:t>6</w:t>
              </w:r>
              <w:r w:rsidR="002B6B6E">
                <w:rPr>
                  <w:rStyle w:val="-"/>
                  <w:sz w:val="18"/>
                  <w:szCs w:val="18"/>
                  <w:lang w:val="en-US"/>
                </w:rPr>
                <w:t>u</w:t>
              </w:r>
              <w:r w:rsidR="002B6B6E">
                <w:rPr>
                  <w:rStyle w:val="-"/>
                  <w:sz w:val="18"/>
                  <w:szCs w:val="18"/>
                </w:rPr>
                <w:t>041@</w:t>
              </w:r>
              <w:r w:rsidR="002B6B6E">
                <w:rPr>
                  <w:rStyle w:val="-"/>
                  <w:sz w:val="18"/>
                  <w:szCs w:val="18"/>
                  <w:lang w:val="en-US"/>
                </w:rPr>
                <w:t>minagric</w:t>
              </w:r>
              <w:r w:rsidR="002B6B6E">
                <w:rPr>
                  <w:rStyle w:val="-"/>
                  <w:sz w:val="18"/>
                  <w:szCs w:val="18"/>
                </w:rPr>
                <w:t>.</w:t>
              </w:r>
              <w:r w:rsidR="002B6B6E">
                <w:rPr>
                  <w:rStyle w:val="-"/>
                  <w:sz w:val="18"/>
                  <w:szCs w:val="18"/>
                  <w:lang w:val="en-US"/>
                </w:rPr>
                <w:t>gr</w:t>
              </w:r>
            </w:hyperlink>
            <w:r w:rsidR="002B6B6E">
              <w:rPr>
                <w:sz w:val="18"/>
                <w:szCs w:val="18"/>
              </w:rPr>
              <w:t xml:space="preserve">  </w:t>
            </w:r>
          </w:p>
        </w:tc>
        <w:tc>
          <w:tcPr>
            <w:tcW w:w="1095" w:type="dxa"/>
          </w:tcPr>
          <w:p w:rsidR="002B6B6E" w:rsidRDefault="002B6B6E" w:rsidP="00115076">
            <w:pPr>
              <w:pStyle w:val="2"/>
              <w:jc w:val="left"/>
              <w:rPr>
                <w:sz w:val="20"/>
                <w:szCs w:val="20"/>
              </w:rPr>
            </w:pPr>
          </w:p>
        </w:tc>
        <w:tc>
          <w:tcPr>
            <w:tcW w:w="4291" w:type="dxa"/>
            <w:vMerge/>
            <w:vAlign w:val="center"/>
            <w:hideMark/>
          </w:tcPr>
          <w:p w:rsidR="002B6B6E" w:rsidRDefault="002B6B6E" w:rsidP="00115076">
            <w:pPr>
              <w:rPr>
                <w:rFonts w:ascii="Arial" w:hAnsi="Arial" w:cs="Arial"/>
                <w:b/>
                <w:sz w:val="18"/>
                <w:szCs w:val="18"/>
              </w:rPr>
            </w:pPr>
          </w:p>
        </w:tc>
      </w:tr>
    </w:tbl>
    <w:p w:rsidR="002B6B6E" w:rsidRDefault="002B6B6E" w:rsidP="002B6B6E">
      <w:pPr>
        <w:ind w:left="1440"/>
        <w:rPr>
          <w:rFonts w:ascii="Arial" w:hAnsi="Arial" w:cs="Arial"/>
          <w:b/>
          <w:sz w:val="20"/>
          <w:szCs w:val="20"/>
        </w:rPr>
      </w:pPr>
      <w:r>
        <w:rPr>
          <w:rFonts w:ascii="Arial" w:hAnsi="Arial" w:cs="Arial"/>
          <w:sz w:val="18"/>
          <w:szCs w:val="18"/>
        </w:rPr>
        <w:t xml:space="preserve">            </w:t>
      </w:r>
      <w:hyperlink r:id="rId9" w:history="1">
        <w:r>
          <w:rPr>
            <w:rStyle w:val="-"/>
            <w:sz w:val="18"/>
            <w:szCs w:val="18"/>
            <w:lang w:val="en-US"/>
          </w:rPr>
          <w:t>Ka</w:t>
        </w:r>
        <w:r>
          <w:rPr>
            <w:rStyle w:val="-"/>
            <w:sz w:val="18"/>
            <w:szCs w:val="18"/>
          </w:rPr>
          <w:t>6</w:t>
        </w:r>
        <w:r>
          <w:rPr>
            <w:rStyle w:val="-"/>
            <w:sz w:val="18"/>
            <w:szCs w:val="18"/>
            <w:lang w:val="en-US"/>
          </w:rPr>
          <w:t>u</w:t>
        </w:r>
        <w:r>
          <w:rPr>
            <w:rStyle w:val="-"/>
            <w:sz w:val="18"/>
            <w:szCs w:val="18"/>
          </w:rPr>
          <w:t>058@</w:t>
        </w:r>
        <w:r>
          <w:rPr>
            <w:rStyle w:val="-"/>
            <w:sz w:val="18"/>
            <w:szCs w:val="18"/>
            <w:lang w:val="en-US"/>
          </w:rPr>
          <w:t>minagric</w:t>
        </w:r>
        <w:r>
          <w:rPr>
            <w:rStyle w:val="-"/>
            <w:sz w:val="18"/>
            <w:szCs w:val="18"/>
          </w:rPr>
          <w:t>.</w:t>
        </w:r>
        <w:r>
          <w:rPr>
            <w:rStyle w:val="-"/>
            <w:sz w:val="18"/>
            <w:szCs w:val="18"/>
            <w:lang w:val="en-US"/>
          </w:rPr>
          <w:t>gr</w:t>
        </w:r>
      </w:hyperlink>
    </w:p>
    <w:p w:rsidR="002B6B6E" w:rsidRDefault="002B6B6E"/>
    <w:p w:rsidR="002B6B6E" w:rsidRDefault="002B6B6E">
      <w:r>
        <w:t>Θέμα : Επανεμφάνιση λύσσας στην Ελλάδα.</w:t>
      </w:r>
    </w:p>
    <w:p w:rsidR="00806044" w:rsidRDefault="00806044">
      <w:r>
        <w:t>Σας ενημερώνουμε ότι από 19/10/2012 έχει επανεμφανιστεί η λύσσα στην Ελλάδα. Το πρώτο κρούσμα αφορούσε μία κόκκινη αλεπού (δεξαμενή του ιού της λύσσας</w:t>
      </w:r>
      <w:r w:rsidR="00D90617" w:rsidRPr="00D90617">
        <w:t xml:space="preserve"> </w:t>
      </w:r>
      <w:r w:rsidR="00D90617">
        <w:t>στη φύση</w:t>
      </w:r>
      <w:r>
        <w:t xml:space="preserve"> ) στην περιοχή Σιάτιστα Κοζάνης. Έκτοτε και μέχρι σήμερα έχουν εμφανιστεί συνολικά 24 κρούσματα ( 20 σε αλεπούδες, 3 σε σκυλιά και 1 σε γάτα</w:t>
      </w:r>
      <w:r w:rsidR="00D90617">
        <w:t>)</w:t>
      </w:r>
      <w:r>
        <w:t xml:space="preserve">. Στο </w:t>
      </w:r>
      <w:r>
        <w:rPr>
          <w:lang w:val="en-US"/>
        </w:rPr>
        <w:t>site</w:t>
      </w:r>
      <w:r w:rsidRPr="00806044">
        <w:t xml:space="preserve">  </w:t>
      </w:r>
      <w:r>
        <w:t xml:space="preserve">του Υπουργείου Αγροτικής  Ανάπτυξης και Τροφίμων  (ΥΠΑΑΤ, Πολίτης, Νοσήματα  που μεταδίδονται </w:t>
      </w:r>
      <w:r w:rsidR="00D90617">
        <w:t xml:space="preserve">από τα ζώα </w:t>
      </w:r>
      <w:r>
        <w:t>στον άνθρωπο, Λύσσα) θα βρείτε αναλυτικά τα κρούσματα και τις περιοχές που αυτά έχουν βρεθεί. Επίσης υπάρχουν και αναλυτικές πληροφορίες για το νόσημα</w:t>
      </w:r>
      <w:r w:rsidR="00D90617">
        <w:t>,</w:t>
      </w:r>
      <w:r>
        <w:t xml:space="preserve"> τα είδη που προσβάλλει τις συνέπειες για τον άνθρωπο, τρόπους πρόληψης και αντιμετώπισης  </w:t>
      </w:r>
      <w:r w:rsidR="00D90617">
        <w:t>κ.λπ.</w:t>
      </w:r>
    </w:p>
    <w:p w:rsidR="00D90617" w:rsidRDefault="00D90617">
      <w:r>
        <w:t xml:space="preserve">Για την αντιμετώπιση της νόσου στα ζώα και κατά συνέπεια στον άνθρωπο θα ξεκινήσουν το φθινόπωρο του 2013 εμβολιασμοί των αλεπούδων με εναέριες ρίψεις εμβολίων δολωμάτων που περιέχουν ζωντανό ιό κατά της λύσσας. </w:t>
      </w:r>
      <w:r w:rsidR="00DE22D2">
        <w:t>Οι εναέριες ρίψεις των εμβολιακών δολωμάτων θα πραγματοποιηθούν σε 1</w:t>
      </w:r>
      <w:r w:rsidR="002B6B6E">
        <w:t>8</w:t>
      </w:r>
      <w:r w:rsidR="003A4A18">
        <w:t xml:space="preserve"> </w:t>
      </w:r>
      <w:r w:rsidR="00DE22D2">
        <w:t xml:space="preserve"> Περιφερειακές Ενότητες </w:t>
      </w:r>
      <w:r w:rsidR="00F06C48">
        <w:t xml:space="preserve">(πρώην Νομαρχίες) </w:t>
      </w:r>
      <w:r w:rsidR="00DE22D2">
        <w:t>και σε επιπλέον ακτίνα 50 χιλιομέτρων γύρω από κάθε κρούσμα (</w:t>
      </w:r>
      <w:r w:rsidR="00DE22D2">
        <w:rPr>
          <w:lang w:val="en-US"/>
        </w:rPr>
        <w:t>site</w:t>
      </w:r>
      <w:r w:rsidR="00DE22D2" w:rsidRPr="00DE22D2">
        <w:t xml:space="preserve"> </w:t>
      </w:r>
      <w:r w:rsidR="00DE22D2">
        <w:t xml:space="preserve">ΥΠΑΑΤ). Στις περιοχές αυτές θα εξαιρεθούν οι υδάτινες, οι αστικές και οι περιαστικές  περιοχές. </w:t>
      </w:r>
      <w:r>
        <w:t xml:space="preserve">Επίσης εντατικοποιούνται </w:t>
      </w:r>
      <w:r w:rsidR="00DE22D2">
        <w:t xml:space="preserve">σε όλη την επικράτεια </w:t>
      </w:r>
      <w:r>
        <w:t>οι εμβολιασμοί όλων των σκύλων και γατών (δεσποζόμενων και αδέσποτων ) με νεκρά εμβόλια κατά της λύσσας.</w:t>
      </w:r>
    </w:p>
    <w:p w:rsidR="00D90617" w:rsidRDefault="00D90617">
      <w:r>
        <w:t>Λόγω της σοβαρότητας του θέματος και των πιθανών συνεπειών της νόσου για τη Δημόσια Υγεία παρακαλούμε θερμά να ενημερωθούν οι εκπαιδευτικοί και οι μαθητές όλων των εκπαιδευτικών βαθμίδων.</w:t>
      </w:r>
      <w:r w:rsidR="00F06C48">
        <w:t xml:space="preserve"> Δεν υπάρχει λόγος εκδήλωσης έντονης ανησυχίας και πανικού και οι παρακάτω συμβουλές αποτελούν τμήμα ενημέρωσης και επαγρύπνησης του πολίτη.</w:t>
      </w:r>
    </w:p>
    <w:p w:rsidR="00D90617" w:rsidRDefault="00D90617">
      <w:r>
        <w:t>Η ενημέρωση πρέπει να επικεντρωθεί στα παρακάτω σημεία:</w:t>
      </w:r>
    </w:p>
    <w:p w:rsidR="00D90617" w:rsidRDefault="00D90617" w:rsidP="00D90617">
      <w:pPr>
        <w:pStyle w:val="a3"/>
        <w:numPr>
          <w:ilvl w:val="0"/>
          <w:numId w:val="1"/>
        </w:numPr>
      </w:pPr>
      <w:r>
        <w:lastRenderedPageBreak/>
        <w:t xml:space="preserve">Η λύσσα επανεμφανίστηκε στην Ελλάδα. </w:t>
      </w:r>
      <w:r w:rsidR="00116EA7">
        <w:t xml:space="preserve">Προσβάλλει όλα τα θηλαστικά ζώα και τον άνθρωπο. </w:t>
      </w:r>
      <w:r>
        <w:t xml:space="preserve">Είναι </w:t>
      </w:r>
      <w:r w:rsidRPr="00DE22D2">
        <w:rPr>
          <w:b/>
        </w:rPr>
        <w:t>ζωοανθρωπονόσος.</w:t>
      </w:r>
      <w:r>
        <w:t xml:space="preserve">  Αν δεν γίνει έγκαιρα </w:t>
      </w:r>
      <w:r w:rsidR="003A4A18">
        <w:t xml:space="preserve">πρόληψη και </w:t>
      </w:r>
      <w:r>
        <w:t>αντιμετώπισή της είναι θανατηφόρ</w:t>
      </w:r>
      <w:r w:rsidR="003A4A18">
        <w:t xml:space="preserve">α </w:t>
      </w:r>
      <w:r>
        <w:t>για τα ζώα και τον άνθρωπο</w:t>
      </w:r>
      <w:r w:rsidR="003A4A18">
        <w:t>.</w:t>
      </w:r>
    </w:p>
    <w:p w:rsidR="00D90617" w:rsidRDefault="00116EA7" w:rsidP="00D90617">
      <w:pPr>
        <w:pStyle w:val="a3"/>
        <w:numPr>
          <w:ilvl w:val="0"/>
          <w:numId w:val="1"/>
        </w:numPr>
      </w:pPr>
      <w:r>
        <w:t xml:space="preserve">Ο άνθρωπος μολύνεται αν </w:t>
      </w:r>
      <w:r w:rsidRPr="00116EA7">
        <w:rPr>
          <w:b/>
        </w:rPr>
        <w:t xml:space="preserve">δαγκωθεί </w:t>
      </w:r>
      <w:r>
        <w:t xml:space="preserve">ή </w:t>
      </w:r>
      <w:r w:rsidRPr="00116EA7">
        <w:rPr>
          <w:b/>
        </w:rPr>
        <w:t xml:space="preserve">γρατσουνιστεί </w:t>
      </w:r>
      <w:r>
        <w:t xml:space="preserve">ή έρθει σε επαφή με </w:t>
      </w:r>
      <w:r w:rsidRPr="00116EA7">
        <w:rPr>
          <w:b/>
        </w:rPr>
        <w:t>σάλια</w:t>
      </w:r>
      <w:r>
        <w:t xml:space="preserve"> μολυσμένου ζώου.</w:t>
      </w:r>
    </w:p>
    <w:p w:rsidR="00116EA7" w:rsidRDefault="00116EA7" w:rsidP="00D90617">
      <w:pPr>
        <w:pStyle w:val="a3"/>
        <w:numPr>
          <w:ilvl w:val="0"/>
          <w:numId w:val="1"/>
        </w:numPr>
      </w:pPr>
      <w:r>
        <w:t xml:space="preserve">Σε περίπτωση μόλυνσης του ανθρώπου πρέπει να ακολουθήσει </w:t>
      </w:r>
      <w:r w:rsidRPr="00116EA7">
        <w:rPr>
          <w:b/>
        </w:rPr>
        <w:t>πολύ καλό πλύσιμο</w:t>
      </w:r>
      <w:r>
        <w:t xml:space="preserve"> της πληγήσας περιοχής με άφθονο νερό και σαπούνι και </w:t>
      </w:r>
      <w:r w:rsidRPr="00116EA7">
        <w:rPr>
          <w:b/>
        </w:rPr>
        <w:t xml:space="preserve">άμεση επίσκεψη στο γιατρό </w:t>
      </w:r>
      <w:r>
        <w:t>για περαιτέρω οδηγίες .</w:t>
      </w:r>
    </w:p>
    <w:p w:rsidR="00DE22D2" w:rsidRDefault="00116EA7" w:rsidP="00D90617">
      <w:pPr>
        <w:pStyle w:val="a3"/>
        <w:numPr>
          <w:ilvl w:val="0"/>
          <w:numId w:val="1"/>
        </w:numPr>
      </w:pPr>
      <w:r>
        <w:t xml:space="preserve">Πρέπει </w:t>
      </w:r>
      <w:r w:rsidRPr="00116EA7">
        <w:rPr>
          <w:b/>
        </w:rPr>
        <w:t>να αποφεύγεται οποιαδήποτε επαφή με άγνωστα ζώα</w:t>
      </w:r>
      <w:r>
        <w:t xml:space="preserve"> (άγρια, αδέσποτα κ.λπ.). Ιδιαίτερα τα παιδιά να αποφεύγουν να πιάνουν</w:t>
      </w:r>
      <w:r w:rsidR="00DE22D2">
        <w:t>,</w:t>
      </w:r>
      <w:r>
        <w:t xml:space="preserve"> να χαϊδεύουν</w:t>
      </w:r>
      <w:r w:rsidR="00DE22D2">
        <w:t xml:space="preserve"> ή γενικά να χειρίζονται άγνωστα σε αυτά ζώα.</w:t>
      </w:r>
    </w:p>
    <w:p w:rsidR="00116EA7" w:rsidRDefault="00DE22D2" w:rsidP="00D90617">
      <w:pPr>
        <w:pStyle w:val="a3"/>
        <w:numPr>
          <w:ilvl w:val="0"/>
          <w:numId w:val="1"/>
        </w:numPr>
      </w:pPr>
      <w:r>
        <w:t xml:space="preserve">Σε περίπτωση που </w:t>
      </w:r>
      <w:r w:rsidR="00116EA7">
        <w:t xml:space="preserve"> </w:t>
      </w:r>
      <w:r>
        <w:t xml:space="preserve">πέσει στην αντίληψή κάποιου ένα ζώο νεκρό </w:t>
      </w:r>
      <w:r w:rsidR="003A4A18">
        <w:t xml:space="preserve">ή με ασυνήθιστη </w:t>
      </w:r>
      <w:r>
        <w:t xml:space="preserve">θα πρέπει να </w:t>
      </w:r>
      <w:r w:rsidRPr="00DE22D2">
        <w:rPr>
          <w:b/>
        </w:rPr>
        <w:t>ειδοποιεί αμέσως</w:t>
      </w:r>
      <w:r>
        <w:t xml:space="preserve"> τις τοπικές κτηνιατρικές ή δασικές αρχές.</w:t>
      </w:r>
    </w:p>
    <w:p w:rsidR="00DE22D2" w:rsidRDefault="00DE22D2" w:rsidP="00D90617">
      <w:pPr>
        <w:pStyle w:val="a3"/>
        <w:numPr>
          <w:ilvl w:val="0"/>
          <w:numId w:val="1"/>
        </w:numPr>
      </w:pPr>
      <w:r>
        <w:t xml:space="preserve">Όσοι διαθέτουν σκύλο ή γάτα θα πρέπει </w:t>
      </w:r>
      <w:r w:rsidRPr="003A4A18">
        <w:t xml:space="preserve">να  </w:t>
      </w:r>
      <w:r w:rsidR="003A4A18" w:rsidRPr="003A4A18">
        <w:t>προσκομίζουν τα ζώα τους στον κτηνίατρο</w:t>
      </w:r>
      <w:r w:rsidR="003A4A18">
        <w:rPr>
          <w:b/>
        </w:rPr>
        <w:t xml:space="preserve"> για αντιλυσσικό εμβολιασμό </w:t>
      </w:r>
      <w:r>
        <w:t xml:space="preserve">και να διατηρούν ενημερωμένο το ατομικό βιβλιάριο εμβολιασμών των ζώων τους. Τα ζώα πρέπει να είναι </w:t>
      </w:r>
      <w:r w:rsidR="003A4A18">
        <w:t xml:space="preserve">ηλεκτρονικά </w:t>
      </w:r>
      <w:r>
        <w:t>σημασμένα</w:t>
      </w:r>
      <w:r w:rsidR="003A4A18">
        <w:t xml:space="preserve"> από κτηνίατρο</w:t>
      </w:r>
      <w:r>
        <w:t>.</w:t>
      </w:r>
    </w:p>
    <w:p w:rsidR="00467A9E" w:rsidRDefault="00467A9E" w:rsidP="00467A9E">
      <w:pPr>
        <w:pStyle w:val="a3"/>
      </w:pPr>
    </w:p>
    <w:p w:rsidR="00DE22D2" w:rsidRDefault="00DE22D2" w:rsidP="00467A9E">
      <w:pPr>
        <w:pStyle w:val="a3"/>
      </w:pPr>
      <w:r>
        <w:t xml:space="preserve">Όσον αφορά τους εναέριους εμβολιασμούς που θα πραγματοποιηθούν το Σεπτέμβριο-Οκτώβριο του 2013 θα πρέπει να γίνει </w:t>
      </w:r>
      <w:r w:rsidR="00467A9E">
        <w:t>άμεση ενημέρωση επίσης.</w:t>
      </w:r>
    </w:p>
    <w:p w:rsidR="00467A9E" w:rsidRDefault="00467A9E" w:rsidP="00467A9E">
      <w:pPr>
        <w:pStyle w:val="a3"/>
        <w:numPr>
          <w:ilvl w:val="0"/>
          <w:numId w:val="2"/>
        </w:numPr>
      </w:pPr>
      <w:r>
        <w:t>Τα εμβολιακά δολώματα περιέχουν ζωντανό ιό.</w:t>
      </w:r>
    </w:p>
    <w:p w:rsidR="00467A9E" w:rsidRDefault="00467A9E" w:rsidP="00467A9E">
      <w:pPr>
        <w:pStyle w:val="a3"/>
        <w:numPr>
          <w:ilvl w:val="0"/>
          <w:numId w:val="2"/>
        </w:numPr>
        <w:rPr>
          <w:b/>
          <w:u w:val="single"/>
        </w:rPr>
      </w:pPr>
      <w:r>
        <w:t>Σε περίπτωση εύρεσης τέτοιων δολωμάτων σε αγροτικές και δασώδεις περιοχές (μικροί κύβοι χρώματος λαδί-καφέ με οσμή ψαριού )</w:t>
      </w:r>
      <w:r w:rsidRPr="00467A9E">
        <w:t xml:space="preserve"> </w:t>
      </w:r>
      <w:r w:rsidRPr="00467A9E">
        <w:rPr>
          <w:b/>
          <w:u w:val="single"/>
        </w:rPr>
        <w:t>ΑΠΑΓΟΡΕΥΕΤΑΙ ΝΑ Τ</w:t>
      </w:r>
      <w:r>
        <w:rPr>
          <w:b/>
          <w:u w:val="single"/>
        </w:rPr>
        <w:t xml:space="preserve">Α </w:t>
      </w:r>
      <w:r w:rsidRPr="00467A9E">
        <w:rPr>
          <w:b/>
          <w:u w:val="single"/>
        </w:rPr>
        <w:t xml:space="preserve">ΑΚΟΥΜΠΗΣΕΤΕ </w:t>
      </w:r>
      <w:r>
        <w:rPr>
          <w:b/>
          <w:u w:val="single"/>
        </w:rPr>
        <w:t>. ΜΗΝ ΤΑ ΠΑΤΑΤΕ. ΑΠΑΓΟΡΕΥΕΤΑΙ ΝΑ ΕΡΘΕΤΕ ΣΕ ΟΠΟΙΑΔΗΠΟΤΕ ΕΠΑΦΗ ΜΕ ΑΥΤ</w:t>
      </w:r>
      <w:r w:rsidR="003A4A18">
        <w:rPr>
          <w:b/>
          <w:u w:val="single"/>
        </w:rPr>
        <w:t>Α</w:t>
      </w:r>
    </w:p>
    <w:p w:rsidR="00467A9E" w:rsidRDefault="00467A9E" w:rsidP="00467A9E">
      <w:pPr>
        <w:pStyle w:val="a3"/>
        <w:numPr>
          <w:ilvl w:val="0"/>
          <w:numId w:val="2"/>
        </w:numPr>
      </w:pPr>
      <w:r w:rsidRPr="00467A9E">
        <w:t xml:space="preserve">Ενημερώστε </w:t>
      </w:r>
      <w:r>
        <w:t xml:space="preserve"> άμεσα τις τοπικές κτηνιατρικές αρχές.</w:t>
      </w:r>
    </w:p>
    <w:p w:rsidR="003A4A18" w:rsidRDefault="003A4A18" w:rsidP="003A4A18"/>
    <w:p w:rsidR="001E453F" w:rsidRDefault="003A4A18" w:rsidP="001E453F">
      <w:pPr>
        <w:jc w:val="both"/>
      </w:pPr>
      <w:r>
        <w:t xml:space="preserve">Το προσεχές διάστημα θα σας αποσταλούν διαφημιστικά φυλλάδια και αφίσες για διευκόλυνσή σας στο έργο της ενημέρωσης όλων των σχολείων της επικράτειας. </w:t>
      </w:r>
    </w:p>
    <w:p w:rsidR="001E453F" w:rsidRDefault="001E453F" w:rsidP="001E453F">
      <w:pPr>
        <w:jc w:val="both"/>
      </w:pPr>
    </w:p>
    <w:p w:rsidR="001E453F" w:rsidRPr="00C52637" w:rsidRDefault="001E453F" w:rsidP="001E453F">
      <w:pPr>
        <w:ind w:left="4320"/>
        <w:jc w:val="both"/>
        <w:rPr>
          <w:rFonts w:ascii="Arial" w:hAnsi="Arial" w:cs="Arial"/>
          <w:b/>
        </w:rPr>
      </w:pPr>
      <w:r>
        <w:rPr>
          <w:rFonts w:ascii="Arial" w:hAnsi="Arial" w:cs="Arial"/>
          <w:b/>
        </w:rPr>
        <w:t xml:space="preserve">Ο προϊστάμενος της Διεύθυνσης  </w:t>
      </w:r>
    </w:p>
    <w:p w:rsidR="001E453F" w:rsidRPr="00C52637" w:rsidRDefault="001E453F" w:rsidP="001E453F">
      <w:pPr>
        <w:jc w:val="both"/>
        <w:rPr>
          <w:rFonts w:ascii="Arial" w:hAnsi="Arial" w:cs="Arial"/>
          <w:b/>
        </w:rPr>
      </w:pPr>
    </w:p>
    <w:p w:rsidR="001E453F" w:rsidRDefault="001E453F" w:rsidP="001E453F">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ΣΠΥΡΙΔΩΝ ΝΤΟΥΝΤΟΥΝΑΚΗΣ</w:t>
      </w:r>
    </w:p>
    <w:p w:rsidR="003A4A18" w:rsidRDefault="003A4A18" w:rsidP="003A4A18"/>
    <w:p w:rsidR="001E453F" w:rsidRPr="00467A9E" w:rsidRDefault="001E453F" w:rsidP="003A4A18"/>
    <w:sectPr w:rsidR="001E453F" w:rsidRPr="00467A9E" w:rsidSect="00627A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501F"/>
    <w:multiLevelType w:val="hybridMultilevel"/>
    <w:tmpl w:val="6032E9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0B00B20"/>
    <w:multiLevelType w:val="hybridMultilevel"/>
    <w:tmpl w:val="5B38EE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29123FE"/>
    <w:multiLevelType w:val="hybridMultilevel"/>
    <w:tmpl w:val="3A8EA5D0"/>
    <w:lvl w:ilvl="0" w:tplc="44F4A840">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06044"/>
    <w:rsid w:val="00116EA7"/>
    <w:rsid w:val="001D0AB2"/>
    <w:rsid w:val="001E453F"/>
    <w:rsid w:val="002B6B6E"/>
    <w:rsid w:val="002C678F"/>
    <w:rsid w:val="003A4A18"/>
    <w:rsid w:val="00467A9E"/>
    <w:rsid w:val="00586B14"/>
    <w:rsid w:val="00627AF2"/>
    <w:rsid w:val="006830C5"/>
    <w:rsid w:val="00806044"/>
    <w:rsid w:val="00A5292B"/>
    <w:rsid w:val="00BD517D"/>
    <w:rsid w:val="00D90617"/>
    <w:rsid w:val="00DE22D2"/>
    <w:rsid w:val="00F06C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617"/>
    <w:pPr>
      <w:ind w:left="720"/>
      <w:contextualSpacing/>
    </w:pPr>
  </w:style>
  <w:style w:type="character" w:styleId="-">
    <w:name w:val="Hyperlink"/>
    <w:basedOn w:val="a0"/>
    <w:semiHidden/>
    <w:unhideWhenUsed/>
    <w:rsid w:val="002B6B6E"/>
    <w:rPr>
      <w:color w:val="0000FF"/>
      <w:u w:val="single"/>
    </w:rPr>
  </w:style>
  <w:style w:type="paragraph" w:styleId="2">
    <w:name w:val="Body Text 2"/>
    <w:basedOn w:val="a"/>
    <w:link w:val="2Char"/>
    <w:unhideWhenUsed/>
    <w:rsid w:val="002B6B6E"/>
    <w:pPr>
      <w:spacing w:after="0" w:line="240" w:lineRule="auto"/>
      <w:jc w:val="center"/>
    </w:pPr>
    <w:rPr>
      <w:rFonts w:ascii="Arial" w:eastAsia="Times New Roman" w:hAnsi="Arial" w:cs="Arial"/>
      <w:sz w:val="24"/>
      <w:szCs w:val="24"/>
    </w:rPr>
  </w:style>
  <w:style w:type="character" w:customStyle="1" w:styleId="2Char">
    <w:name w:val="Σώμα κείμενου 2 Char"/>
    <w:basedOn w:val="a0"/>
    <w:link w:val="2"/>
    <w:rsid w:val="002B6B6E"/>
    <w:rPr>
      <w:rFonts w:ascii="Arial" w:eastAsia="Times New Roman" w:hAnsi="Arial" w:cs="Arial"/>
      <w:sz w:val="24"/>
      <w:szCs w:val="24"/>
    </w:rPr>
  </w:style>
  <w:style w:type="paragraph" w:styleId="a4">
    <w:name w:val="Balloon Text"/>
    <w:basedOn w:val="a"/>
    <w:link w:val="Char"/>
    <w:uiPriority w:val="99"/>
    <w:semiHidden/>
    <w:unhideWhenUsed/>
    <w:rsid w:val="002B6B6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B6B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6u041@minagric.gr" TargetMode="External"/><Relationship Id="rId3" Type="http://schemas.openxmlformats.org/officeDocument/2006/relationships/styles" Target="styles.xml"/><Relationship Id="rId7" Type="http://schemas.openxmlformats.org/officeDocument/2006/relationships/hyperlink" Target="mailto:&#922;a6u009@minagric.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6u058@minagri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5A8F-9A6E-476E-9D7C-64F228F6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3527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ka6u009</dc:creator>
  <cp:lastModifiedBy>kostas</cp:lastModifiedBy>
  <cp:revision>2</cp:revision>
  <cp:lastPrinted>2013-06-18T07:26:00Z</cp:lastPrinted>
  <dcterms:created xsi:type="dcterms:W3CDTF">2013-10-04T18:24:00Z</dcterms:created>
  <dcterms:modified xsi:type="dcterms:W3CDTF">2013-10-04T18:24:00Z</dcterms:modified>
</cp:coreProperties>
</file>